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rFonts w:ascii="Times New Roman" w:hAnsi="Times New Roman"/>
          <w:sz w:val="20"/>
        </w:rPr>
      </w:pPr>
      <w:bookmarkStart w:id="0" w:name="ater20260718_8k.htm"/>
      <w:bookmarkStart w:id="1" w:name="ksater20260718_8k"/>
      <w:bookmarkEnd w:id="0"/>
      <w:bookmarkEnd w:id="1"/>
      <w:r>
        <w:rPr>
          <w:rFonts w:ascii="Times New Roman" w:hAnsi="Times New Roman"/>
          <w:sz w:val="20"/>
        </w:rPr>
        <w:t xml:space="preserve">--12-31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br/>
      </w: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br/>
      </w: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br/>
      </w: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br/>
      </w: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br/>
        <w:br/>
      </w:r>
      <w:r>
        <w:rPr>
          <w:rFonts w:ascii="Times New Roman" w:hAnsi="Times New Roman"/>
          <w:b/>
          <w:caps w:val="false"/>
          <w:smallCaps w:val="false"/>
          <w:sz w:val="20"/>
        </w:rPr>
        <w:t>Date of Report (Date of earliest event reported): July 15, 2026</w:t>
      </w:r>
      <w:r>
        <w:rPr>
          <w:rFonts w:ascii="Times New Roman" w:hAnsi="Times New Roman"/>
          <w:caps w:val="false"/>
          <w:smallCaps w:val="false"/>
          <w:sz w:val="20"/>
        </w:rPr>
        <w:t xml:space="preserve">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ATERIAN, INC.</w:t>
      </w:r>
      <w:r>
        <w:rPr>
          <w:rFonts w:ascii="Times New Roman" w:hAnsi="Times New Roman"/>
          <w:caps w:val="false"/>
          <w:smallCaps w:val="false"/>
          <w:sz w:val="20"/>
        </w:rPr>
        <w:t xml:space="preserve"> </w:t>
        <w:br/>
      </w: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2645"/>
        <w:gridCol w:w="1351"/>
        <w:gridCol w:w="1782"/>
      </w:tblGrid>
      <w:tr>
        <w:trPr/>
        <w:tc>
          <w:tcPr>
            <w:tcW w:w="26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Delaware</w:t>
            </w:r>
            <w:r>
              <w:rPr>
                <w:rFonts w:ascii="Times New Roman" w:hAnsi="Times New Roman"/>
                <w:caps w:val="false"/>
                <w:smallCaps w:val="false"/>
                <w:sz w:val="20"/>
              </w:rPr>
              <w:t xml:space="preserve"> </w:t>
              <w:br/>
            </w:r>
            <w:r>
              <w:rPr>
                <w:rFonts w:ascii="Times New Roman" w:hAnsi="Times New Roman"/>
                <w:b/>
                <w:caps w:val="false"/>
                <w:smallCaps w:val="false"/>
                <w:sz w:val="20"/>
              </w:rPr>
              <w:t>(State or other jurisdiction</w:t>
            </w:r>
            <w:r>
              <w:rPr>
                <w:rFonts w:ascii="Times New Roman" w:hAnsi="Times New Roman"/>
                <w:caps w:val="false"/>
                <w:smallCaps w:val="false"/>
                <w:sz w:val="20"/>
              </w:rPr>
              <w:t xml:space="preserve"> </w:t>
              <w:br/>
            </w:r>
            <w:r>
              <w:rPr>
                <w:rFonts w:ascii="Times New Roman" w:hAnsi="Times New Roman"/>
                <w:b/>
                <w:caps w:val="false"/>
                <w:smallCaps w:val="false"/>
                <w:sz w:val="20"/>
              </w:rPr>
              <w:t>of incorporation)</w:t>
            </w:r>
          </w:p>
        </w:tc>
        <w:tc>
          <w:tcPr>
            <w:tcW w:w="135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001-38937</w:t>
            </w:r>
            <w:r>
              <w:rPr>
                <w:rFonts w:ascii="Times New Roman" w:hAnsi="Times New Roman"/>
                <w:caps w:val="false"/>
                <w:smallCaps w:val="false"/>
                <w:sz w:val="20"/>
              </w:rPr>
              <w:t xml:space="preserve"> </w:t>
              <w:br/>
            </w:r>
            <w:r>
              <w:rPr>
                <w:rFonts w:ascii="Times New Roman" w:hAnsi="Times New Roman"/>
                <w:b/>
                <w:caps w:val="false"/>
                <w:smallCaps w:val="false"/>
                <w:sz w:val="20"/>
              </w:rPr>
              <w:t>(Commission</w:t>
            </w:r>
            <w:r>
              <w:rPr>
                <w:rFonts w:ascii="Times New Roman" w:hAnsi="Times New Roman"/>
                <w:caps w:val="false"/>
                <w:smallCaps w:val="false"/>
                <w:sz w:val="20"/>
              </w:rPr>
              <w:t xml:space="preserve"> </w:t>
              <w:br/>
            </w:r>
            <w:r>
              <w:rPr>
                <w:rFonts w:ascii="Times New Roman" w:hAnsi="Times New Roman"/>
                <w:b/>
                <w:caps w:val="false"/>
                <w:smallCaps w:val="false"/>
                <w:sz w:val="20"/>
              </w:rPr>
              <w:t>File Number)</w:t>
            </w:r>
          </w:p>
        </w:tc>
        <w:tc>
          <w:tcPr>
            <w:tcW w:w="17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83-1739858</w:t>
            </w:r>
            <w:r>
              <w:rPr>
                <w:rFonts w:ascii="Times New Roman" w:hAnsi="Times New Roman"/>
                <w:caps w:val="false"/>
                <w:smallCaps w:val="false"/>
                <w:sz w:val="20"/>
              </w:rPr>
              <w:t xml:space="preserve"> </w:t>
              <w:br/>
            </w:r>
            <w:r>
              <w:rPr>
                <w:rFonts w:ascii="Times New Roman" w:hAnsi="Times New Roman"/>
                <w:b/>
                <w:caps w:val="false"/>
                <w:smallCaps w:val="false"/>
                <w:sz w:val="20"/>
              </w:rPr>
              <w:t>(IRS Employer</w:t>
            </w:r>
            <w:r>
              <w:rPr>
                <w:rFonts w:ascii="Times New Roman" w:hAnsi="Times New Roman"/>
                <w:caps w:val="false"/>
                <w:smallCaps w:val="false"/>
                <w:sz w:val="20"/>
              </w:rPr>
              <w:t xml:space="preserve"> </w:t>
              <w:br/>
            </w:r>
            <w:r>
              <w:rPr>
                <w:rFonts w:ascii="Times New Roman" w:hAnsi="Times New Roman"/>
                <w:b/>
                <w:caps w:val="false"/>
                <w:smallCaps w:val="false"/>
                <w:sz w:val="20"/>
              </w:rPr>
              <w:t>Identification No.)</w:t>
            </w:r>
          </w:p>
        </w:tc>
      </w:tr>
      <w:tr>
        <w:trPr/>
        <w:tc>
          <w:tcPr>
            <w:tcW w:w="57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350 Springfield Avenue</w:t>
            </w:r>
            <w:r>
              <w:rPr>
                <w:rFonts w:ascii="Times New Roman" w:hAnsi="Times New Roman"/>
                <w:caps w:val="false"/>
                <w:smallCaps w:val="false"/>
                <w:sz w:val="20"/>
              </w:rPr>
              <w:t> </w:t>
            </w:r>
            <w:r>
              <w:rPr>
                <w:rFonts w:ascii="Times New Roman" w:hAnsi="Times New Roman"/>
                <w:b/>
                <w:caps w:val="false"/>
                <w:smallCaps w:val="false"/>
                <w:sz w:val="20"/>
              </w:rPr>
              <w:t>Suite #200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Summit, NJ</w:t>
            </w:r>
            <w:r>
              <w:rPr>
                <w:rFonts w:ascii="Times New Roman" w:hAnsi="Times New Roman"/>
                <w:caps w:val="false"/>
                <w:smallCaps w:val="false"/>
                <w:sz w:val="20"/>
              </w:rPr>
              <w:t> </w:t>
            </w:r>
            <w:r>
              <w:rPr>
                <w:rFonts w:ascii="Times New Roman" w:hAnsi="Times New Roman"/>
                <w:b/>
                <w:caps w:val="false"/>
                <w:smallCaps w:val="false"/>
                <w:sz w:val="20"/>
              </w:rPr>
              <w:t>07901</w:t>
            </w:r>
            <w:r>
              <w:rPr>
                <w:rFonts w:ascii="Times New Roman" w:hAnsi="Times New Roman"/>
                <w:caps w:val="false"/>
                <w:smallCaps w:val="false"/>
                <w:sz w:val="20"/>
              </w:rPr>
              <w:t xml:space="preserve"> </w:t>
              <w:br/>
            </w:r>
            <w:r>
              <w:rPr>
                <w:rFonts w:ascii="Times New Roman" w:hAnsi="Times New Roman"/>
                <w:b/>
                <w:caps w:val="false"/>
                <w:smallCaps w:val="false"/>
                <w:sz w:val="20"/>
              </w:rPr>
              <w:t>(Address of principal executive offices, including zip code)</w:t>
            </w:r>
            <w:r>
              <w:rPr>
                <w:rFonts w:ascii="Times New Roman" w:hAnsi="Times New Roman"/>
                <w:caps w:val="false"/>
                <w:smallCaps w:val="false"/>
                <w:sz w:val="20"/>
              </w:rPr>
              <w:t xml:space="preserve"> </w:t>
              <w:br/>
              <w:br/>
            </w: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(347) 676-1681</w:t>
            </w:r>
            <w:r>
              <w:rPr>
                <w:rFonts w:ascii="Times New Roman" w:hAnsi="Times New Roman"/>
                <w:caps w:val="false"/>
                <w:smallCaps w:val="false"/>
                <w:sz w:val="20"/>
              </w:rPr>
              <w:t xml:space="preserve"> </w:t>
              <w:br/>
              <w:br/>
            </w:r>
            <w:r>
              <w:rPr>
                <w:rFonts w:ascii="Times New Roman" w:hAnsi="Times New Roman"/>
                <w:b/>
                <w:caps w:val="false"/>
                <w:smallCaps w:val="false"/>
                <w:sz w:val="20"/>
              </w:rPr>
              <w:t>N/A</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tbl>
      <w:tblPr>
        <w:tblW w:w="7500" w:type="dxa"/>
        <w:jc w:val="left"/>
        <w:tblInd w:w="0" w:type="dxa"/>
        <w:tblLayout w:type="fixed"/>
        <w:tblCellMar>
          <w:top w:w="0" w:type="dxa"/>
          <w:left w:w="0" w:type="dxa"/>
          <w:bottom w:w="28" w:type="dxa"/>
          <w:right w:w="0" w:type="dxa"/>
        </w:tblCellMar>
      </w:tblPr>
      <w:tblGrid>
        <w:gridCol w:w="2930"/>
        <w:gridCol w:w="60"/>
        <w:gridCol w:w="1610"/>
        <w:gridCol w:w="60"/>
        <w:gridCol w:w="2840"/>
      </w:tblGrid>
      <w:tr>
        <w:trPr/>
        <w:tc>
          <w:tcPr>
            <w:tcW w:w="29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w:t>
            </w:r>
          </w:p>
        </w:tc>
      </w:tr>
      <w:tr>
        <w:trPr/>
        <w:tc>
          <w:tcPr>
            <w:tcW w:w="293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40" w:type="dxa"/>
            <w:tcBorders/>
            <w:tcMar>
              <w:bottom w:w="0" w:type="dxa"/>
            </w:tcMar>
            <w:vAlign w:val="center"/>
          </w:tcPr>
          <w:p>
            <w:pPr>
              <w:pStyle w:val="TableContents"/>
              <w:bidi w:val="0"/>
              <w:spacing w:before="0" w:after="0"/>
              <w:ind w:left="0" w:right="0" w:hanging="0"/>
              <w:jc w:val="left"/>
              <w:rPr/>
            </w:pPr>
            <w:r>
              <w:rPr/>
              <w:t> </w:t>
            </w:r>
          </w:p>
        </w:tc>
      </w:tr>
      <w:tr>
        <w:trPr/>
        <w:tc>
          <w:tcPr>
            <w:tcW w:w="293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Nasdaq</w:t>
            </w:r>
            <w:r>
              <w:rPr>
                <w:rFonts w:ascii="Times New Roman" w:hAnsi="Times New Roman"/>
                <w:caps w:val="false"/>
                <w:smallCaps w:val="false"/>
                <w:sz w:val="20"/>
              </w:rPr>
              <w:t> </w:t>
            </w:r>
            <w:r>
              <w:rPr>
                <w:rFonts w:ascii="Times New Roman" w:hAnsi="Times New Roman"/>
                <w:b/>
                <w:caps w:val="false"/>
                <w:smallCaps w:val="false"/>
                <w:sz w:val="20"/>
              </w:rPr>
              <w:t>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1.01. Entry into a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previously disclosed by Aterian, Inc. (the “</w:t>
      </w:r>
      <w:r>
        <w:rPr>
          <w:rFonts w:ascii="Times New Roman" w:hAnsi="Times New Roman"/>
          <w:b/>
          <w:i/>
          <w:caps w:val="false"/>
          <w:smallCaps w:val="false"/>
          <w:sz w:val="20"/>
        </w:rPr>
        <w:t>Company</w:t>
      </w:r>
      <w:r>
        <w:rPr>
          <w:rFonts w:ascii="Times New Roman" w:hAnsi="Times New Roman"/>
          <w:caps w:val="false"/>
          <w:smallCaps w:val="false"/>
          <w:sz w:val="20"/>
        </w:rPr>
        <w:t>” or “</w:t>
      </w:r>
      <w:r>
        <w:rPr>
          <w:rFonts w:ascii="Times New Roman" w:hAnsi="Times New Roman"/>
          <w:b/>
          <w:i/>
          <w:caps w:val="false"/>
          <w:smallCaps w:val="false"/>
          <w:sz w:val="20"/>
        </w:rPr>
        <w:t>Aterian</w:t>
      </w:r>
      <w:r>
        <w:rPr>
          <w:rFonts w:ascii="Times New Roman" w:hAnsi="Times New Roman"/>
          <w:caps w:val="false"/>
          <w:smallCaps w:val="false"/>
          <w:sz w:val="20"/>
        </w:rPr>
        <w:t>”), on June 25, 2026 and in connection with the Aterian Transactions (as defined below), the Board of Directors of the Company (the “</w:t>
      </w:r>
      <w:r>
        <w:rPr>
          <w:rFonts w:ascii="Times New Roman" w:hAnsi="Times New Roman"/>
          <w:b/>
          <w:i/>
          <w:caps w:val="false"/>
          <w:smallCaps w:val="false"/>
          <w:sz w:val="20"/>
        </w:rPr>
        <w:t>Board</w:t>
      </w:r>
      <w:r>
        <w:rPr>
          <w:rFonts w:ascii="Times New Roman" w:hAnsi="Times New Roman"/>
          <w:caps w:val="false"/>
          <w:smallCaps w:val="false"/>
          <w:sz w:val="20"/>
        </w:rPr>
        <w:t>”) declared a dividend (the “</w:t>
      </w:r>
      <w:r>
        <w:rPr>
          <w:rFonts w:ascii="Times New Roman" w:hAnsi="Times New Roman"/>
          <w:b/>
          <w:i/>
          <w:caps w:val="false"/>
          <w:smallCaps w:val="false"/>
          <w:sz w:val="20"/>
        </w:rPr>
        <w:t>Dividend</w:t>
      </w:r>
      <w:r>
        <w:rPr>
          <w:rFonts w:ascii="Times New Roman" w:hAnsi="Times New Roman"/>
          <w:caps w:val="false"/>
          <w:smallCaps w:val="false"/>
          <w:sz w:val="20"/>
        </w:rPr>
        <w:t>”) in the form of contingent value rights (each, a “</w:t>
      </w:r>
      <w:r>
        <w:rPr>
          <w:rFonts w:ascii="Times New Roman" w:hAnsi="Times New Roman"/>
          <w:b/>
          <w:i/>
          <w:caps w:val="false"/>
          <w:smallCaps w:val="false"/>
          <w:sz w:val="20"/>
        </w:rPr>
        <w:t>CVR</w:t>
      </w:r>
      <w:r>
        <w:rPr>
          <w:rFonts w:ascii="Times New Roman" w:hAnsi="Times New Roman"/>
          <w:caps w:val="false"/>
          <w:smallCaps w:val="false"/>
          <w:sz w:val="20"/>
        </w:rPr>
        <w:t>”) to record holders of the following Company securities as of the close of business on July 8, 2026 (the “</w:t>
      </w:r>
      <w:r>
        <w:rPr>
          <w:rFonts w:ascii="Times New Roman" w:hAnsi="Times New Roman"/>
          <w:b/>
          <w:i/>
          <w:caps w:val="false"/>
          <w:smallCaps w:val="false"/>
          <w:sz w:val="20"/>
        </w:rPr>
        <w:t>Record Date</w:t>
      </w:r>
      <w:r>
        <w:rPr>
          <w:rFonts w:ascii="Times New Roman" w:hAnsi="Times New Roman"/>
          <w:caps w:val="false"/>
          <w:smallCaps w:val="false"/>
          <w:sz w:val="20"/>
        </w:rPr>
        <w:t>”): (i) the Company’s common stock, par value $0.0001 per share (“</w:t>
      </w:r>
      <w:r>
        <w:rPr>
          <w:rFonts w:ascii="Times New Roman" w:hAnsi="Times New Roman"/>
          <w:b/>
          <w:i/>
          <w:caps w:val="false"/>
          <w:smallCaps w:val="false"/>
          <w:sz w:val="20"/>
        </w:rPr>
        <w:t>Common Stock</w:t>
      </w:r>
      <w:r>
        <w:rPr>
          <w:rFonts w:ascii="Times New Roman" w:hAnsi="Times New Roman"/>
          <w:caps w:val="false"/>
          <w:smallCaps w:val="false"/>
          <w:sz w:val="20"/>
        </w:rPr>
        <w:t>”) and (ii) certain warrants to purchase Common Stock that have not been exercised and settled prior to the Record Date (and which have the right to participate in the Dividend pursuant to the terms of their respective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the Company entered into a Contingent Value Rights Agreement (the “</w:t>
      </w:r>
      <w:r>
        <w:rPr>
          <w:rFonts w:ascii="Times New Roman" w:hAnsi="Times New Roman"/>
          <w:b/>
          <w:i/>
          <w:caps w:val="false"/>
          <w:smallCaps w:val="false"/>
          <w:sz w:val="20"/>
        </w:rPr>
        <w:t>CVR Agreement</w:t>
      </w:r>
      <w:r>
        <w:rPr>
          <w:rFonts w:ascii="Times New Roman" w:hAnsi="Times New Roman"/>
          <w:caps w:val="false"/>
          <w:smallCaps w:val="false"/>
          <w:sz w:val="20"/>
        </w:rPr>
        <w:t>”) with Broadridge Corporate Issuer Solutions, LLC, as the “Rights Agent” (the “</w:t>
      </w:r>
      <w:r>
        <w:rPr>
          <w:rFonts w:ascii="Times New Roman" w:hAnsi="Times New Roman"/>
          <w:b/>
          <w:i/>
          <w:caps w:val="false"/>
          <w:smallCaps w:val="false"/>
          <w:sz w:val="20"/>
        </w:rPr>
        <w:t>Rights Agent</w:t>
      </w:r>
      <w:r>
        <w:rPr>
          <w:rFonts w:ascii="Times New Roman" w:hAnsi="Times New Roman"/>
          <w:caps w:val="false"/>
          <w:smallCaps w:val="false"/>
          <w:sz w:val="20"/>
        </w:rPr>
        <w:t>”) in connection with the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CVR will represent the contractual right to receive payments from the Company upon the actual receipt by the Company of proceeds derived from (i) the net proceeds of the Asset Sale (as defined below), after satisfaction of certain obligations, (ii) the Additional Reserves Remainder (as defined in the Securities Purchase Agreement (as defined below)), (iii) the net proceeds from the sale of any assets of the Company (other than the Asset Sale), subject to certain exceptions, (iv) the net amount of any release of any restricted cash or import bond held by the Company at or prior to the Second SPA Closing (as defined below), (v) the net proceeds from the receipt of cash or other proceeds in connection with or as a result of the release of any amounts held in escrow for the benefit of the Company and/or any of its equityholders in connection with the Asset Sale or in respect of any other transaction occurring at or prior to the Second SPA Closing, and (vi) the net proceeds of the Stock Sale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payments under the CVR Agreement, if they become payable, will become payable to the Rights Agent for subsequent distribution to the holders of the CVRs. There can be no assurance that any holders of CVRs will receive payments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Securities and Exchange Commission (“</w:t>
      </w:r>
      <w:r>
        <w:rPr>
          <w:rFonts w:ascii="Times New Roman" w:hAnsi="Times New Roman"/>
          <w:b/>
          <w:i/>
          <w:caps w:val="false"/>
          <w:smallCaps w:val="false"/>
          <w:sz w:val="20"/>
        </w:rPr>
        <w:t>SEC</w:t>
      </w:r>
      <w:r>
        <w:rPr>
          <w:rFonts w:ascii="Times New Roman" w:hAnsi="Times New Roman"/>
          <w:caps w:val="false"/>
          <w:smallCaps w:val="false"/>
          <w:sz w:val="20"/>
        </w:rPr>
        <w:t>”). The CVRs will not have any voting or dividend rights and will not represent any equity or ownership interest in the Company or any of its affiliates. No interest will accrue on any amounts payable in respect of the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summary of the CVR Agreement does not purport to be complete and is qualified in its entirety by reference to the full text of the CVR Agreement, which is filed as Exhibit 10.1 to this Current Report on Form 8-K (“</w:t>
      </w:r>
      <w:r>
        <w:rPr>
          <w:rFonts w:ascii="Times New Roman" w:hAnsi="Times New Roman"/>
          <w:b/>
          <w:i/>
          <w:caps w:val="false"/>
          <w:smallCaps w:val="false"/>
          <w:sz w:val="20"/>
        </w:rPr>
        <w:t>Current Report</w:t>
      </w:r>
      <w:r>
        <w:rPr>
          <w:rFonts w:ascii="Times New Roman" w:hAnsi="Times New Roman"/>
          <w:caps w:val="false"/>
          <w:smallCaps w:val="false"/>
          <w:sz w:val="20"/>
        </w:rPr>
        <w: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1.02. Termination of a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in connection with the Aterian Transactions (as defined below), all outstanding indebtedness under that certain Credit and Security Agreement, dated as of December 22, 2021, as amended from time to time, between the Company, together with certain of its subsidiaries party thereto as borrowers, the entities party thereto as lenders, and Midcap Funding IV Trust, as administrative agent (the “</w:t>
      </w:r>
      <w:r>
        <w:rPr>
          <w:rFonts w:ascii="Times New Roman" w:hAnsi="Times New Roman"/>
          <w:b/>
          <w:i/>
          <w:caps w:val="false"/>
          <w:smallCaps w:val="false"/>
          <w:sz w:val="20"/>
        </w:rPr>
        <w:t>Existing Credit Agreement</w:t>
      </w:r>
      <w:r>
        <w:rPr>
          <w:rFonts w:ascii="Times New Roman" w:hAnsi="Times New Roman"/>
          <w:caps w:val="false"/>
          <w:smallCaps w:val="false"/>
          <w:sz w:val="20"/>
        </w:rPr>
        <w:t>”), was repaid in full and all commitments thereunder were terminated. Additionally, the guarantees and liens securing the indebtedness under the Existing Credit Agreement were discharged and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2.01. Completion of Acquisition or Disposition of Assets.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Completion of Asset Sale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the Company completed its previously announced sale of assets to Trademark Global, LLC (“</w:t>
      </w:r>
      <w:r>
        <w:rPr>
          <w:rFonts w:ascii="Times New Roman" w:hAnsi="Times New Roman"/>
          <w:b/>
          <w:i/>
          <w:caps w:val="false"/>
          <w:smallCaps w:val="false"/>
          <w:sz w:val="20"/>
        </w:rPr>
        <w:t>Trademark Global</w:t>
      </w:r>
      <w:r>
        <w:rPr>
          <w:rFonts w:ascii="Times New Roman" w:hAnsi="Times New Roman"/>
          <w:caps w:val="false"/>
          <w:smallCaps w:val="false"/>
          <w:sz w:val="20"/>
        </w:rPr>
        <w:t>”), pursuant to that certain Asset Purchase Agreement, dated as of April 27, 2026 (the “</w:t>
      </w:r>
      <w:r>
        <w:rPr>
          <w:rFonts w:ascii="Times New Roman" w:hAnsi="Times New Roman"/>
          <w:b/>
          <w:i/>
          <w:caps w:val="false"/>
          <w:smallCaps w:val="false"/>
          <w:sz w:val="20"/>
        </w:rPr>
        <w:t>Asset Purchase Agreement</w:t>
      </w:r>
      <w:r>
        <w:rPr>
          <w:rFonts w:ascii="Times New Roman" w:hAnsi="Times New Roman"/>
          <w:caps w:val="false"/>
          <w:smallCaps w:val="false"/>
          <w:sz w:val="20"/>
        </w:rPr>
        <w:t>”). Pursuant to the Asset Purchase Agreement, Trademark Global acquired certain specified assets and liabilities of the Company, including, among other things, assets associated with the Company’s marquee consumer brands: Mueller Living, PurSteam, hOmeLabs, Squatty Potty, Healing Solutions, and Photo Paper Direct for $18.0 million in cash, subject to certain purchase price adjustments (the “</w:t>
      </w:r>
      <w:r>
        <w:rPr>
          <w:rFonts w:ascii="Times New Roman" w:hAnsi="Times New Roman"/>
          <w:b/>
          <w:i/>
          <w:caps w:val="false"/>
          <w:smallCaps w:val="false"/>
          <w:sz w:val="20"/>
        </w:rPr>
        <w:t>Asset Sale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continue to operate its smaller remaining legacy brands such as Vremi and Xtava.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Completion of Stock Sale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the Company also completed its previously announced sale of preferred stock to David E. Lazar (“</w:t>
      </w:r>
      <w:r>
        <w:rPr>
          <w:rFonts w:ascii="Times New Roman" w:hAnsi="Times New Roman"/>
          <w:b/>
          <w:i/>
          <w:caps w:val="false"/>
          <w:smallCaps w:val="false"/>
          <w:sz w:val="20"/>
        </w:rPr>
        <w:t>Lazar</w:t>
      </w:r>
      <w:r>
        <w:rPr>
          <w:rFonts w:ascii="Times New Roman" w:hAnsi="Times New Roman"/>
          <w:caps w:val="false"/>
          <w:smallCaps w:val="false"/>
          <w:sz w:val="20"/>
        </w:rPr>
        <w:t>”), pursuant to that certain Securities Purchase Agreement, dated as of April 27, 2026 (the “</w:t>
      </w:r>
      <w:r>
        <w:rPr>
          <w:rFonts w:ascii="Times New Roman" w:hAnsi="Times New Roman"/>
          <w:b/>
          <w:i/>
          <w:caps w:val="false"/>
          <w:smallCaps w:val="false"/>
          <w:sz w:val="20"/>
        </w:rPr>
        <w:t>Securities Purchase Agreement</w:t>
      </w:r>
      <w:r>
        <w:rPr>
          <w:rFonts w:ascii="Times New Roman" w:hAnsi="Times New Roman"/>
          <w:caps w:val="false"/>
          <w:smallCaps w:val="false"/>
          <w:sz w:val="20"/>
        </w:rPr>
        <w:t>”). Pursuant to the Securities Purchase Agreement, Lazar purchased from the Company (a) 1,750,000 shares of Series AA Convertible Non-Redeemable Preferred Stock, par value $0.0001 per share, of the Company (the “</w:t>
      </w:r>
      <w:r>
        <w:rPr>
          <w:rFonts w:ascii="Times New Roman" w:hAnsi="Times New Roman"/>
          <w:b/>
          <w:i/>
          <w:caps w:val="false"/>
          <w:smallCaps w:val="false"/>
          <w:sz w:val="20"/>
        </w:rPr>
        <w:t>Series AA Preferred Stock</w:t>
      </w:r>
      <w:r>
        <w:rPr>
          <w:rFonts w:ascii="Times New Roman" w:hAnsi="Times New Roman"/>
          <w:caps w:val="false"/>
          <w:smallCaps w:val="false"/>
          <w:sz w:val="20"/>
        </w:rPr>
        <w:t>” and such purchased shares, the “</w:t>
      </w:r>
      <w:r>
        <w:rPr>
          <w:rFonts w:ascii="Times New Roman" w:hAnsi="Times New Roman"/>
          <w:b/>
          <w:i/>
          <w:caps w:val="false"/>
          <w:smallCaps w:val="false"/>
          <w:sz w:val="20"/>
        </w:rPr>
        <w:t>Series AA Preferred Shares</w:t>
      </w:r>
      <w:r>
        <w:rPr>
          <w:rFonts w:ascii="Times New Roman" w:hAnsi="Times New Roman"/>
          <w:caps w:val="false"/>
          <w:smallCaps w:val="false"/>
          <w:sz w:val="20"/>
        </w:rPr>
        <w:t>”), the closing of which occurred on April 27, 2026 (the “</w:t>
      </w:r>
      <w:r>
        <w:rPr>
          <w:rFonts w:ascii="Times New Roman" w:hAnsi="Times New Roman"/>
          <w:b/>
          <w:i/>
          <w:caps w:val="false"/>
          <w:smallCaps w:val="false"/>
          <w:sz w:val="20"/>
        </w:rPr>
        <w:t>Initial SPA Closing</w:t>
      </w:r>
      <w:r>
        <w:rPr>
          <w:rFonts w:ascii="Times New Roman" w:hAnsi="Times New Roman"/>
          <w:caps w:val="false"/>
          <w:smallCaps w:val="false"/>
          <w:sz w:val="20"/>
        </w:rPr>
        <w:t>”), and (b) 1,750,000 shares of Series AAA Convertible Non-Redeemable Preferred Stock, par value $0.0001 per share, of the Company (the “</w:t>
      </w:r>
      <w:r>
        <w:rPr>
          <w:rFonts w:ascii="Times New Roman" w:hAnsi="Times New Roman"/>
          <w:b/>
          <w:i/>
          <w:caps w:val="false"/>
          <w:smallCaps w:val="false"/>
          <w:sz w:val="20"/>
        </w:rPr>
        <w:t>Series AAA Preferred Stock</w:t>
      </w:r>
      <w:r>
        <w:rPr>
          <w:rFonts w:ascii="Times New Roman" w:hAnsi="Times New Roman"/>
          <w:caps w:val="false"/>
          <w:smallCaps w:val="false"/>
          <w:sz w:val="20"/>
        </w:rPr>
        <w:t>” and together with the Series AA Preferred Stock, the “</w:t>
      </w:r>
      <w:r>
        <w:rPr>
          <w:rFonts w:ascii="Times New Roman" w:hAnsi="Times New Roman"/>
          <w:b/>
          <w:i/>
          <w:caps w:val="false"/>
          <w:smallCaps w:val="false"/>
          <w:sz w:val="20"/>
        </w:rPr>
        <w:t>Preferred Stock</w:t>
      </w:r>
      <w:r>
        <w:rPr>
          <w:rFonts w:ascii="Times New Roman" w:hAnsi="Times New Roman"/>
          <w:caps w:val="false"/>
          <w:smallCaps w:val="false"/>
          <w:sz w:val="20"/>
        </w:rPr>
        <w:t>” and such purchased shares, the “</w:t>
      </w:r>
      <w:r>
        <w:rPr>
          <w:rFonts w:ascii="Times New Roman" w:hAnsi="Times New Roman"/>
          <w:b/>
          <w:i/>
          <w:caps w:val="false"/>
          <w:smallCaps w:val="false"/>
          <w:sz w:val="20"/>
        </w:rPr>
        <w:t>Series AAA Preferred Shares</w:t>
      </w:r>
      <w:r>
        <w:rPr>
          <w:rFonts w:ascii="Times New Roman" w:hAnsi="Times New Roman"/>
          <w:caps w:val="false"/>
          <w:smallCaps w:val="false"/>
          <w:sz w:val="20"/>
        </w:rPr>
        <w:t>” and together with the Series AA Preferred Shares, the “</w:t>
      </w:r>
      <w:r>
        <w:rPr>
          <w:rFonts w:ascii="Times New Roman" w:hAnsi="Times New Roman"/>
          <w:b/>
          <w:i/>
          <w:caps w:val="false"/>
          <w:smallCaps w:val="false"/>
          <w:sz w:val="20"/>
        </w:rPr>
        <w:t>Purchased Shares</w:t>
      </w:r>
      <w:r>
        <w:rPr>
          <w:rFonts w:ascii="Times New Roman" w:hAnsi="Times New Roman"/>
          <w:caps w:val="false"/>
          <w:smallCaps w:val="false"/>
          <w:sz w:val="20"/>
        </w:rPr>
        <w:t>”), the closing of which occurred on July 17, 2026 (the “</w:t>
      </w:r>
      <w:r>
        <w:rPr>
          <w:rFonts w:ascii="Times New Roman" w:hAnsi="Times New Roman"/>
          <w:b/>
          <w:i/>
          <w:caps w:val="false"/>
          <w:smallCaps w:val="false"/>
          <w:sz w:val="20"/>
        </w:rPr>
        <w:t>Second SPA Closing</w:t>
      </w:r>
      <w:r>
        <w:rPr>
          <w:rFonts w:ascii="Times New Roman" w:hAnsi="Times New Roman"/>
          <w:caps w:val="false"/>
          <w:smallCaps w:val="false"/>
          <w:sz w:val="20"/>
        </w:rPr>
        <w:t>”), in each case at a purchase price of $2.00 per share of Preferred Stock for aggregate gross proceeds of $7.0 million, subject to the terms and conditions of the Securities Purchase Agreement (the “</w:t>
      </w:r>
      <w:r>
        <w:rPr>
          <w:rFonts w:ascii="Times New Roman" w:hAnsi="Times New Roman"/>
          <w:b/>
          <w:i/>
          <w:caps w:val="false"/>
          <w:smallCaps w:val="false"/>
          <w:sz w:val="20"/>
        </w:rPr>
        <w:t>Stock Sale</w:t>
      </w:r>
      <w:r>
        <w:rPr>
          <w:rFonts w:ascii="Times New Roman" w:hAnsi="Times New Roman"/>
          <w:caps w:val="false"/>
          <w:smallCaps w:val="false"/>
          <w:sz w:val="20"/>
        </w:rPr>
        <w:t>,” and together with the Asset Sale, the “</w:t>
      </w:r>
      <w:r>
        <w:rPr>
          <w:rFonts w:ascii="Times New Roman" w:hAnsi="Times New Roman"/>
          <w:b/>
          <w:i/>
          <w:caps w:val="false"/>
          <w:smallCaps w:val="false"/>
          <w:sz w:val="20"/>
        </w:rPr>
        <w:t>Aterian Transactions</w:t>
      </w:r>
      <w:r>
        <w:rPr>
          <w:rFonts w:ascii="Times New Roman" w:hAnsi="Times New Roman"/>
          <w:caps w:val="false"/>
          <w:smallCaps w:val="false"/>
          <w:sz w:val="20"/>
        </w:rPr>
        <w:t>”). As the Company received the requisite approvals at the Special Meeting (as defined below), each (i) Series AA Preferred Share may be converted into 7.7 shares of Common Stock, which number is based on a conversion price of $0.25974, as determined in accordance with the terms of the Securities Purchase Agreement, and (ii) Series AAA Preferred Share may be converted into 135.1 shares of Common Stock, which number is based on a conversion price of $0.0148, as determined in accordance with the terms of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3.02. Unregistered Sales of Equity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disclosure required by this Item and included in Item 2.01 and Item 5.03 of this Current Report is incorporated herein by reference. The Series AAA Preferred Shares, including the shares of Common Stock issuable upon conversion thereof, were sold without registration under the Securities Act of 1933, as amended (the “</w:t>
      </w:r>
      <w:r>
        <w:rPr>
          <w:rFonts w:ascii="Times New Roman" w:hAnsi="Times New Roman"/>
          <w:b/>
          <w:i/>
          <w:caps w:val="false"/>
          <w:smallCaps w:val="false"/>
          <w:sz w:val="20"/>
        </w:rPr>
        <w:t>Securities Act</w:t>
      </w:r>
      <w:r>
        <w:rPr>
          <w:rFonts w:ascii="Times New Roman" w:hAnsi="Times New Roman"/>
          <w:caps w:val="false"/>
          <w:smallCaps w:val="false"/>
          <w:sz w:val="20"/>
        </w:rPr>
        <w:t>”), in reliance on the exemption provided by Regulation S (“</w:t>
      </w:r>
      <w:r>
        <w:rPr>
          <w:rFonts w:ascii="Times New Roman" w:hAnsi="Times New Roman"/>
          <w:b/>
          <w:i/>
          <w:caps w:val="false"/>
          <w:smallCaps w:val="false"/>
          <w:sz w:val="20"/>
        </w:rPr>
        <w:t>Regulation S</w:t>
      </w:r>
      <w:r>
        <w:rPr>
          <w:rFonts w:ascii="Times New Roman" w:hAnsi="Times New Roman"/>
          <w:caps w:val="false"/>
          <w:smallCaps w:val="false"/>
          <w:sz w:val="20"/>
        </w:rPr>
        <w:t>”) thereof, which permits offers or sales of securities by the Company outside of the United States that are not made to “U.S. Persons” or for the account or benefit of a “U.S. Person”, as that term is defined in Rule 902 of Regulation S. The issuances and sales of the securities described above were not registered under the Securities Act or any state securities laws, and such securities may not be offered or sold in the United States absent registration with the SEC or an applicable exemption from the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3.03. Material Modifications to Rights of Security Holders.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disclosure required by this Item and included in Item 2.01 and Item 5.03 of this Current Report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5.01. Changes in Control of Registrant.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disclosure required by this Item and included in Items 2.01, 5.02 and 5.03 of this Current Report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the Second SPA Closing, the Series AAA Preferred Shares were issued to Lazar, at which time Lazar became the beneficial owner of approximately 95.8% of the Company’s issued and outstanding voting securities, which constitutes a change in control of the Company. On a fully-diluted basis, Lazar’s ownership of the Company is approximately 95.1%. The holders of the Company’s equity securities prior to the Second SPA Closing now collectively own approximately 4.2% of the Company’s issued and outstanding voting securities and approximately 4.9% of the Company’s fully-diluted share 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Lazar paid the aggregate of $7.0 million purchase price for the Preferred Stock with cash on hand.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5.02 Departure of Directors or Certain Officers; Election of Directors; Appointment of Certain Officers; Compensatory Arrangements of Certain Officers.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Change in Chief Executive Officer and Transition Services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previously announced, pursuant to the terms of the Securities Purchase Agreement, the Board agreed to appoint Lazar as the sole Chief Executive Officer of the Company promptly following the Second SPA Closing. Accordingly, on July 17, 2026, Lazar was appointed as the Chief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Lazar’s appointment, Arturo Rodriguez’s position as the Company’s Chief Executive Officer terminated. However, on July 16, 2026, Mr. Rodriguez and the Company entered into a Transition and Separation Agreement (the “</w:t>
      </w:r>
      <w:r>
        <w:rPr>
          <w:rFonts w:ascii="Times New Roman" w:hAnsi="Times New Roman"/>
          <w:b/>
          <w:i/>
          <w:caps w:val="false"/>
          <w:smallCaps w:val="false"/>
          <w:sz w:val="20"/>
        </w:rPr>
        <w:t>Rodriguez Agreement</w:t>
      </w:r>
      <w:r>
        <w:rPr>
          <w:rFonts w:ascii="Times New Roman" w:hAnsi="Times New Roman"/>
          <w:caps w:val="false"/>
          <w:smallCaps w:val="false"/>
          <w:sz w:val="20"/>
        </w:rPr>
        <w:t>”), pursuant to which Mr. Rodriguez agreed to provide services to the Company as a non-executive employee to help ensure a smooth transition. Pursuant to the Rodriguez Agreement, Mr. Rodriguez will remain with the Company through September 30, 2026, at which time his employment with the Company will terminate and such termination of employment will be treated as a “Change in Control Qualifying Termination,” as such term is defined in the Company’s Executive Severance Plan (the “</w:t>
      </w:r>
      <w:r>
        <w:rPr>
          <w:rFonts w:ascii="Times New Roman" w:hAnsi="Times New Roman"/>
          <w:b/>
          <w:i/>
          <w:caps w:val="false"/>
          <w:smallCaps w:val="false"/>
          <w:sz w:val="20"/>
        </w:rPr>
        <w:t>Severance Plan</w:t>
      </w:r>
      <w:r>
        <w:rPr>
          <w:rFonts w:ascii="Times New Roman" w:hAnsi="Times New Roman"/>
          <w:caps w:val="false"/>
          <w:smallCaps w:val="false"/>
          <w:sz w:val="20"/>
        </w:rPr>
        <w:t>”), and he will be entitled to receive the severance benefits described in Section IV.02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Mr. Rodriguez will remain as a member of the Board and will serve as a member of the Special Committee of the Board (the “</w:t>
      </w:r>
      <w:r>
        <w:rPr>
          <w:rFonts w:ascii="Times New Roman" w:hAnsi="Times New Roman"/>
          <w:b/>
          <w:i/>
          <w:caps w:val="false"/>
          <w:smallCaps w:val="false"/>
          <w:sz w:val="20"/>
        </w:rPr>
        <w:t>Special Committee</w:t>
      </w:r>
      <w:r>
        <w:rPr>
          <w:rFonts w:ascii="Times New Roman" w:hAnsi="Times New Roman"/>
          <w:caps w:val="false"/>
          <w:smallCaps w:val="false"/>
          <w:sz w:val="20"/>
        </w:rPr>
        <w:t>”) responsible for overseeing the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on July 16, 2026, Joshua Feldman, the Company’s Chief Financial Officer, and the Company entered into a Transition and Separation Agreement (the “</w:t>
      </w:r>
      <w:r>
        <w:rPr>
          <w:rFonts w:ascii="Times New Roman" w:hAnsi="Times New Roman"/>
          <w:b/>
          <w:i/>
          <w:caps w:val="false"/>
          <w:smallCaps w:val="false"/>
          <w:sz w:val="20"/>
        </w:rPr>
        <w:t>Feldman Agreement</w:t>
      </w:r>
      <w:r>
        <w:rPr>
          <w:rFonts w:ascii="Times New Roman" w:hAnsi="Times New Roman"/>
          <w:caps w:val="false"/>
          <w:smallCaps w:val="false"/>
          <w:sz w:val="20"/>
        </w:rPr>
        <w:t>”), pursuant to which Mr. Feldman agreed to remain with the Company as its Chief Financial Officer through September 4, 2026. Pursuant to the Feldman Agreement, at such time his employment with the Company will terminate and such termination of employment will be treated as a “Change in Control Qualifying Termination,” as such term is defined in the Severance Plan and he will be entitled to receive the severance benefits described in Section IV.02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Resignation of Directors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immediately following receipt of stockholder approval at the Special Meeting, Bari A. Harlam and Susan Lattmann resigned from the Board (the “</w:t>
      </w:r>
      <w:r>
        <w:rPr>
          <w:rFonts w:ascii="Times New Roman" w:hAnsi="Times New Roman"/>
          <w:b/>
          <w:i/>
          <w:caps w:val="false"/>
          <w:smallCaps w:val="false"/>
          <w:sz w:val="20"/>
        </w:rPr>
        <w:t>Board Resignations</w:t>
      </w:r>
      <w:r>
        <w:rPr>
          <w:rFonts w:ascii="Times New Roman" w:hAnsi="Times New Roman"/>
          <w:caps w:val="false"/>
          <w:smallCaps w:val="false"/>
          <w:sz w:val="20"/>
        </w:rPr>
        <w:t>”). None of the members of the Board who resigned in connection with the Board Resignations did so as a result of any disagreements with the Company on policies or operations. Ms. Harlam was a member of the Audit Committee of the Board (the “</w:t>
      </w:r>
      <w:r>
        <w:rPr>
          <w:rFonts w:ascii="Times New Roman" w:hAnsi="Times New Roman"/>
          <w:b/>
          <w:i/>
          <w:caps w:val="false"/>
          <w:smallCaps w:val="false"/>
          <w:sz w:val="20"/>
        </w:rPr>
        <w:t>Audit Committee</w:t>
      </w:r>
      <w:r>
        <w:rPr>
          <w:rFonts w:ascii="Times New Roman" w:hAnsi="Times New Roman"/>
          <w:caps w:val="false"/>
          <w:smallCaps w:val="false"/>
          <w:sz w:val="20"/>
        </w:rPr>
        <w:t>”) and the chairperson of the Compensation Committee of the Board (the “</w:t>
      </w:r>
      <w:r>
        <w:rPr>
          <w:rFonts w:ascii="Times New Roman" w:hAnsi="Times New Roman"/>
          <w:b/>
          <w:i/>
          <w:caps w:val="false"/>
          <w:smallCaps w:val="false"/>
          <w:sz w:val="20"/>
        </w:rPr>
        <w:t>Compensation Committee</w:t>
      </w:r>
      <w:r>
        <w:rPr>
          <w:rFonts w:ascii="Times New Roman" w:hAnsi="Times New Roman"/>
          <w:caps w:val="false"/>
          <w:smallCaps w:val="false"/>
          <w:sz w:val="20"/>
        </w:rPr>
        <w:t>”). Ms. Lattmann was the chairperson of the Audit Committee and a member of the Compensation Committee. William Kurtz and Mr. Rodriguez will remain on the Board and serve as members of the Special Committee responsible for overseeing the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New Directors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pursuant to Lazar’s right to nominate four directors at the Special Meeting, (i) Avraham Ben-Tzi was nominated and elected to the Board as a Class II director to serve until the 2027 annual meeting of stockholders or until his successor has been duly elected and qualified, and (ii) David Natan was nominated and elected to the Board as a Class III director to serve until the 2028 annual meeting of stockholders or until his successor has been duly elected and qualified (together, the “</w:t>
      </w:r>
      <w:r>
        <w:rPr>
          <w:rFonts w:ascii="Times New Roman" w:hAnsi="Times New Roman"/>
          <w:b/>
          <w:i/>
          <w:caps w:val="false"/>
          <w:smallCaps w:val="false"/>
          <w:sz w:val="20"/>
        </w:rPr>
        <w:t>Lazar Nominees</w:t>
      </w:r>
      <w:r>
        <w:rPr>
          <w:rFonts w:ascii="Times New Roman" w:hAnsi="Times New Roman"/>
          <w:caps w:val="false"/>
          <w:smallCaps w:val="false"/>
          <w:sz w:val="20"/>
        </w:rPr>
        <w:t>”). Although Lazar has the right to designate four director nominees, Lazar chose to nominate only two designees for election at the Special Meeting. Lazar may nominate the other two directors at a later time at his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Mr. Natan and Mr. Ben-Tzi will join the Audit Committee with Mr. Kurtz acting as Audit Committee Chair. In connection with their election to the Board and appointment to the Audit Committee, the Board has determined that Mr. Natan and Mr. Ben-Tzi satisfy the definition of “independent director” and the heightened independence standards for service on the Audit Committee under The Nasdaq Stock Market LLC (“</w:t>
      </w:r>
      <w:r>
        <w:rPr>
          <w:rFonts w:ascii="Times New Roman" w:hAnsi="Times New Roman"/>
          <w:b/>
          <w:i/>
          <w:caps w:val="false"/>
          <w:smallCaps w:val="false"/>
          <w:sz w:val="20"/>
        </w:rPr>
        <w:t>Nasdaq</w:t>
      </w:r>
      <w:r>
        <w:rPr>
          <w:rFonts w:ascii="Times New Roman" w:hAnsi="Times New Roman"/>
          <w:caps w:val="false"/>
          <w:smallCaps w:val="false"/>
          <w:sz w:val="20"/>
        </w:rPr>
        <w:t>”) listing standards. Mr. Natan and Mr. Ben-Tzi will join the Compensation Committee of the Board with Mr. Natan acting as Compensation Committee Chair.</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Acceleration of Restricted Stock Awards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closing of the Aterian Transactions, the Board approved the acceleration of the vesting of 438,350 and 249,713 restricted stock awards (the “</w:t>
      </w:r>
      <w:r>
        <w:rPr>
          <w:rFonts w:ascii="Times New Roman" w:hAnsi="Times New Roman"/>
          <w:b/>
          <w:i/>
          <w:caps w:val="false"/>
          <w:smallCaps w:val="false"/>
          <w:sz w:val="20"/>
        </w:rPr>
        <w:t>RSAs</w:t>
      </w:r>
      <w:r>
        <w:rPr>
          <w:rFonts w:ascii="Times New Roman" w:hAnsi="Times New Roman"/>
          <w:caps w:val="false"/>
          <w:smallCaps w:val="false"/>
          <w:sz w:val="20"/>
        </w:rPr>
        <w:t>”) previously awarded to Mr. Rodriguez and Mr. Feldman, respectively, under the Company’s 2022 Inducement Equity Incentive Plan, as amended. Such RSAs became fully vested on 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5.03. Amendments to Articles of Incorporation or Bylaws; Change in Fiscal Year.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Series AAA Preferred Stock Certificate of Designation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the Company filed a Certificate of Designation of Preferences and Rights of Series AAA Convertible Non-Redeemable Preferred Stock of the Company with the Secretary of State of Delaware designating the rights, preferences and limitations of the shares of the Series AAA Preferred Stock (the “</w:t>
      </w:r>
      <w:r>
        <w:rPr>
          <w:rFonts w:ascii="Times New Roman" w:hAnsi="Times New Roman"/>
          <w:b/>
          <w:i/>
          <w:caps w:val="false"/>
          <w:smallCaps w:val="false"/>
          <w:sz w:val="20"/>
        </w:rPr>
        <w:t>Series AAA Certificate of Designation</w:t>
      </w:r>
      <w:r>
        <w:rPr>
          <w:rFonts w:ascii="Times New Roman" w:hAnsi="Times New Roman"/>
          <w:caps w:val="false"/>
          <w:smallCaps w:val="false"/>
          <w:sz w:val="20"/>
        </w:rPr>
        <w:t>”). Each Series AAA Preferred Share may be converted into 135.1 shares of Common Stock, which number is based on a conversion price of $0.0184, as determined in accordance with the terms of the Securities Purchase Agreement and set forth in the Series AAA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previously disclosed, at the Initial SPA Closing, the Company filed a Certificate of Designation of Preferences and Rights of Series AA Convertible Non-Redeemable Preferred Stock of the Company with the Secretary of State of Delaware designating the rights, preferences and limitations of the shares of the Series AA Preferred Stock (the “</w:t>
      </w:r>
      <w:r>
        <w:rPr>
          <w:rFonts w:ascii="Times New Roman" w:hAnsi="Times New Roman"/>
          <w:b/>
          <w:i/>
          <w:caps w:val="false"/>
          <w:smallCaps w:val="false"/>
          <w:sz w:val="20"/>
        </w:rPr>
        <w:t>Series AA Certificate of Designation</w:t>
      </w:r>
      <w:r>
        <w:rPr>
          <w:rFonts w:ascii="Times New Roman" w:hAnsi="Times New Roman"/>
          <w:caps w:val="false"/>
          <w:smallCaps w:val="false"/>
          <w:sz w:val="20"/>
        </w:rPr>
        <w:t>” and, together with the Series AAA Certificate of Designation, the “</w:t>
      </w:r>
      <w:r>
        <w:rPr>
          <w:rFonts w:ascii="Times New Roman" w:hAnsi="Times New Roman"/>
          <w:b/>
          <w:i/>
          <w:caps w:val="false"/>
          <w:smallCaps w:val="false"/>
          <w:sz w:val="20"/>
        </w:rPr>
        <w:t>Certificates of Designation</w:t>
      </w:r>
      <w:r>
        <w:rPr>
          <w:rFonts w:ascii="Times New Roman" w:hAnsi="Times New Roman"/>
          <w:caps w:val="false"/>
          <w:smallCaps w:val="false"/>
          <w:sz w:val="20"/>
        </w:rPr>
        <w:t>”). Each Series AA Preferred Share may be converted into 7.7 shares of Common Stock, based on a conversion price of $0.25974, as set forth in the Series AA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Preferred Stock ranks:</w:t>
      </w:r>
    </w:p>
    <w:p>
      <w:pPr>
        <w:pStyle w:val="TextBody"/>
        <w:bidi w:val="0"/>
        <w:spacing w:before="0" w:after="0"/>
        <w:ind w:left="0" w:right="0" w:hanging="0"/>
        <w:jc w:val="left"/>
        <w:rPr>
          <w:caps w:val="false"/>
          <w:smallCaps w:val="false"/>
        </w:rPr>
      </w:pPr>
      <w:r>
        <w:rPr>
          <w:caps w:val="false"/>
          <w:smallCaps w:val="false"/>
        </w:rPr>
        <w:t> </w:t>
      </w:r>
    </w:p>
    <w:tbl>
      <w:tblPr>
        <w:tblW w:w="3403" w:type="dxa"/>
        <w:jc w:val="left"/>
        <w:tblInd w:w="0" w:type="dxa"/>
        <w:tblLayout w:type="fixed"/>
        <w:tblCellMar>
          <w:top w:w="28" w:type="dxa"/>
          <w:left w:w="28" w:type="dxa"/>
          <w:bottom w:w="28" w:type="dxa"/>
          <w:right w:w="28" w:type="dxa"/>
        </w:tblCellMar>
      </w:tblPr>
      <w:tblGrid>
        <w:gridCol w:w="161"/>
        <w:gridCol w:w="256"/>
        <w:gridCol w:w="298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to all of the Common Stock;</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to any class or series of capital stock of the Company hereafter created specifically ranking by its terms junior to the Preferred Stock (“</w:t>
            </w:r>
            <w:r>
              <w:rPr>
                <w:rFonts w:ascii="Times New Roman" w:hAnsi="Times New Roman"/>
                <w:b/>
                <w:i/>
                <w:caps w:val="false"/>
                <w:smallCaps w:val="false"/>
                <w:sz w:val="20"/>
              </w:rPr>
              <w:t>Junior Securities</w:t>
            </w:r>
            <w:r>
              <w:rPr>
                <w:rFonts w:ascii="Times New Roman" w:hAnsi="Times New Roman"/>
                <w:caps w:val="false"/>
                <w:smallCaps w:val="false"/>
                <w:sz w:val="20"/>
              </w:rPr>
              <w:t>”); and</w:t>
            </w:r>
          </w:p>
        </w:tc>
      </w:tr>
    </w:tbl>
    <w:tbl>
      <w:tblPr>
        <w:tblW w:w="9553" w:type="dxa"/>
        <w:jc w:val="left"/>
        <w:tblInd w:w="0" w:type="dxa"/>
        <w:tblLayout w:type="fixed"/>
        <w:tblCellMar>
          <w:top w:w="28" w:type="dxa"/>
          <w:left w:w="28" w:type="dxa"/>
          <w:bottom w:w="28" w:type="dxa"/>
          <w:right w:w="28" w:type="dxa"/>
        </w:tblCellMar>
      </w:tblPr>
      <w:tblGrid>
        <w:gridCol w:w="161"/>
        <w:gridCol w:w="256"/>
        <w:gridCol w:w="913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on parity with each other (i.e., Series AA Preferred Stock ranks </w:t>
            </w:r>
            <w:r>
              <w:rPr>
                <w:rFonts w:ascii="Times New Roman" w:hAnsi="Times New Roman"/>
                <w:i/>
                <w:caps w:val="false"/>
                <w:smallCaps w:val="false"/>
                <w:sz w:val="20"/>
              </w:rPr>
              <w:t xml:space="preserve">pari passu </w:t>
            </w:r>
            <w:r>
              <w:rPr>
                <w:rFonts w:ascii="Times New Roman" w:hAnsi="Times New Roman"/>
                <w:caps w:val="false"/>
                <w:smallCaps w:val="false"/>
                <w:sz w:val="20"/>
              </w:rPr>
              <w:t>with the Series AAA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each case, as to distributions of assets upon liquidation, dissolution or winding up of the Company, whether voluntarily or involuntarily (each, a “</w:t>
      </w:r>
      <w:r>
        <w:rPr>
          <w:rFonts w:ascii="Times New Roman" w:hAnsi="Times New Roman"/>
          <w:b/>
          <w:i/>
          <w:caps w:val="false"/>
          <w:smallCaps w:val="false"/>
          <w:sz w:val="20"/>
        </w:rPr>
        <w:t>Dissolution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 Dissolution, holders of the Preferred Stock will be entitled to receive, before any distributions to the holders of the Common Stock and the holders of Junior Securities, an amount per share of Preferred Stock equal to the greater of (i) $2.00 (subject to adjustment in the event of any stock split, combination or reclassification), plus any dividends declared but unpaid thereon, or (ii) such amount per share as would have been payable had all shares of the Preferred Stock been converted into Common Stock (without regard to any restrictions on conversion) immediately prior to such Dissolution. Shares of Preferred Stock will be entitled to receive dividends equal to (on an as-if-converted-to-Common Stock basis), and in the same form and manner as, dividends actually paid on shares of Common Stock. For the avoidance of any doubt, neither a change in control of the Company, the merger or consolidation of the Company with or into any other entity, nor the sale, lease, exchange or other disposition of all or substantially all of the Company’s assets shall, in and of itself, be deemed to constitute a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Shares of Preferred Stock generally have no voting rights, except to the extent provided by applicable law, and except that the consent of the holders of a majority of the outstanding shares of the Preferred Stock will be required to (i) alter, repeal or change the powers, preferences or rights of the Preferred Stock or alter or amend the Certificates of Designation so as to adversely affect the Preferred Stock; (ii) supplement, amend, restate, repeal or waive any provision of the Company’s amended and restated certificate of incorporation or bylaws, or file any certificate of amendment, certificate of designation, preferences, limitations and relative rights of any series of preferred stock, if such action would adversely alter or change the preferences, rights, privileges or powers of or restrictions provided for the benefit of the Preferred Stock, regardless of whether any of the foregoing actions shall be by means of amendment to the Company’s amended and restated certificate of incorporation or by merger, consolidation, recapitalization, reclassification, conversion or otherwise; (iii) increase or decrease (other than by conversion) the number of authorized shares of the Preferred Stock; or (iv) enter into any agreement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description of the Series AAA Certificate of Designation and the Series AA Certificate of Designation, which terms are identical, except as to conversion price, does not purport to be complete and is qualified in its entirety by reference to the full text of the Series AAA Certificate of Designation filed as Exhibit 3.1 to this Current Report and the Series AA Certificate of Designation filed as Exhibit 3.1 to our Current Report on Form 8-K filed with the SEC on April 29, 2026, each of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5.07. Submission of Matters to a Vote of Security Holders.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previously disclosed, on July 10, 2026, the Company convened and adjourned the special meeting of stockholders, which was reconvened on July 17, 2026 (such meeting, as reconvened, the “</w:t>
      </w:r>
      <w:r>
        <w:rPr>
          <w:rFonts w:ascii="Times New Roman" w:hAnsi="Times New Roman"/>
          <w:b/>
          <w:i/>
          <w:caps w:val="false"/>
          <w:smallCaps w:val="false"/>
          <w:sz w:val="20"/>
        </w:rPr>
        <w:t>Special Meeting</w:t>
      </w:r>
      <w:r>
        <w:rPr>
          <w:rFonts w:ascii="Times New Roman" w:hAnsi="Times New Roman"/>
          <w:caps w:val="false"/>
          <w:smallCaps w:val="false"/>
          <w:sz w:val="20"/>
        </w:rPr>
        <w:t>”), in a virtual meeting format via live webcast. At the Special Meeting, a total of 6,196,341 shares of Common Stock, or approximately 57.11% of the 10,849,410 shares of Common Stock, issued and outstanding, as of the close of business on May 29, 2026, the record date for the Special Meeting, were represented virtually or by proxy, which was sufficient to constitute a quorum for the purpose of transacting business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Special Meeting, the Company’s stockholders considered eight proposals, each of which is described in more detail in the Company’s definitive proxy statement on Schedule 14A filed with the SEC on June 9, 2026, as supplemented from time to time (the “</w:t>
      </w:r>
      <w:r>
        <w:rPr>
          <w:rFonts w:ascii="Times New Roman" w:hAnsi="Times New Roman"/>
          <w:b/>
          <w:i/>
          <w:caps w:val="false"/>
          <w:smallCaps w:val="false"/>
          <w:sz w:val="20"/>
        </w:rPr>
        <w:t>Definitive Proxy Statement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Set forth below is a brief description of each matter voted upon at the Special Meeting and the voting results with respect to each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Proposal No. 1:</w:t>
      </w:r>
      <w:r>
        <w:rPr>
          <w:rFonts w:ascii="Times New Roman" w:hAnsi="Times New Roman"/>
          <w:caps w:val="false"/>
          <w:smallCaps w:val="false"/>
          <w:sz w:val="20"/>
        </w:rPr>
        <w:t xml:space="preserve"> To consider and vote upon a proposal to approve the sale of substantially all of the assets of the Company pursuant to the Asset Purchase Agreement (as it may be amended, restated, supplemented or otherwise modified from time to time in accordance with the terms thereof), by and between the Company and Trademark Global (the “</w:t>
      </w:r>
      <w:r>
        <w:rPr>
          <w:rFonts w:ascii="Times New Roman" w:hAnsi="Times New Roman"/>
          <w:b/>
          <w:i/>
          <w:caps w:val="false"/>
          <w:smallCaps w:val="false"/>
          <w:sz w:val="20"/>
        </w:rPr>
        <w:t>Asset Sale Proposal</w:t>
      </w:r>
      <w:r>
        <w:rPr>
          <w:rFonts w:ascii="Times New Roman" w:hAnsi="Times New Roman"/>
          <w:caps w:val="false"/>
          <w:smallCaps w:val="false"/>
          <w:sz w:val="20"/>
        </w:rPr>
        <w:t>” or “</w:t>
      </w:r>
      <w:r>
        <w:rPr>
          <w:rFonts w:ascii="Times New Roman" w:hAnsi="Times New Roman"/>
          <w:b/>
          <w:i/>
          <w:caps w:val="false"/>
          <w:smallCaps w:val="false"/>
          <w:sz w:val="20"/>
        </w:rPr>
        <w:t>Proposal 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845"/>
        <w:gridCol w:w="695"/>
        <w:gridCol w:w="995"/>
        <w:gridCol w:w="1505"/>
      </w:tblGrid>
      <w:tr>
        <w:trPr/>
        <w:tc>
          <w:tcPr>
            <w:tcW w:w="84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w:t>
            </w:r>
          </w:p>
        </w:tc>
        <w:tc>
          <w:tcPr>
            <w:tcW w:w="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Against</w:t>
            </w:r>
          </w:p>
        </w:tc>
        <w:tc>
          <w:tcPr>
            <w:tcW w:w="9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Abstentions</w:t>
            </w:r>
          </w:p>
        </w:tc>
        <w:tc>
          <w:tcPr>
            <w:tcW w:w="150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BrokerNon-Votes</w:t>
            </w:r>
          </w:p>
        </w:tc>
      </w:tr>
      <w:tr>
        <w:trPr/>
        <w:tc>
          <w:tcPr>
            <w:tcW w:w="8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6,042,027</w:t>
            </w:r>
          </w:p>
        </w:tc>
        <w:tc>
          <w:tcPr>
            <w:tcW w:w="6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137,096</w:t>
            </w:r>
          </w:p>
        </w:tc>
        <w:tc>
          <w:tcPr>
            <w:tcW w:w="9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17,218</w:t>
            </w:r>
          </w:p>
        </w:tc>
        <w:tc>
          <w:tcPr>
            <w:tcW w:w="1505"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Proposal No. 2:</w:t>
      </w:r>
      <w:r>
        <w:rPr>
          <w:rFonts w:ascii="Times New Roman" w:hAnsi="Times New Roman"/>
          <w:caps w:val="false"/>
          <w:smallCaps w:val="false"/>
          <w:sz w:val="20"/>
        </w:rPr>
        <w:t xml:space="preserve"> To elect Avraham Ben-Tzi as Class II director and David Natan as Class III director to serve until the 2027 and 2028 annual meetings of stockholders, respectively, and until their respective successors have been duly elected and qualified (the “</w:t>
      </w:r>
      <w:r>
        <w:rPr>
          <w:rFonts w:ascii="Times New Roman" w:hAnsi="Times New Roman"/>
          <w:b/>
          <w:i/>
          <w:caps w:val="false"/>
          <w:smallCaps w:val="false"/>
          <w:sz w:val="20"/>
        </w:rPr>
        <w:t>Director Election Proposal</w:t>
      </w:r>
      <w:r>
        <w:rPr>
          <w:rFonts w:ascii="Times New Roman" w:hAnsi="Times New Roman"/>
          <w:caps w:val="false"/>
          <w:smallCaps w:val="false"/>
          <w:sz w:val="20"/>
        </w:rPr>
        <w:t>” or “</w:t>
      </w:r>
      <w:r>
        <w:rPr>
          <w:rFonts w:ascii="Times New Roman" w:hAnsi="Times New Roman"/>
          <w:b/>
          <w:i/>
          <w:caps w:val="false"/>
          <w:smallCaps w:val="false"/>
          <w:sz w:val="20"/>
        </w:rPr>
        <w:t>Proposal 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Avraham Ben-Tzi:</w:t>
      </w:r>
    </w:p>
    <w:p>
      <w:pPr>
        <w:pStyle w:val="TextBody"/>
        <w:bidi w:val="0"/>
        <w:spacing w:before="0" w:after="0"/>
        <w:ind w:left="0" w:right="0" w:hanging="0"/>
        <w:jc w:val="left"/>
        <w:rPr>
          <w:caps w:val="false"/>
          <w:smallCaps w:val="false"/>
        </w:rPr>
      </w:pPr>
      <w:r>
        <w:rPr>
          <w:caps w:val="false"/>
          <w:smallCaps w:val="false"/>
        </w:rPr>
        <w:t> </w:t>
      </w:r>
    </w:p>
    <w:tbl>
      <w:tblPr>
        <w:tblW w:w="3165" w:type="dxa"/>
        <w:jc w:val="left"/>
        <w:tblInd w:w="0" w:type="dxa"/>
        <w:tblLayout w:type="fixed"/>
        <w:tblCellMar>
          <w:top w:w="0" w:type="dxa"/>
          <w:left w:w="0" w:type="dxa"/>
          <w:bottom w:w="0" w:type="dxa"/>
          <w:right w:w="0" w:type="dxa"/>
        </w:tblCellMar>
      </w:tblPr>
      <w:tblGrid>
        <w:gridCol w:w="845"/>
        <w:gridCol w:w="815"/>
        <w:gridCol w:w="1505"/>
      </w:tblGrid>
      <w:tr>
        <w:trPr/>
        <w:tc>
          <w:tcPr>
            <w:tcW w:w="84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w:t>
            </w:r>
          </w:p>
        </w:tc>
        <w:tc>
          <w:tcPr>
            <w:tcW w:w="81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Withhold</w:t>
            </w:r>
          </w:p>
        </w:tc>
        <w:tc>
          <w:tcPr>
            <w:tcW w:w="150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BrokerNon-Votes</w:t>
            </w:r>
          </w:p>
        </w:tc>
      </w:tr>
      <w:tr>
        <w:trPr/>
        <w:tc>
          <w:tcPr>
            <w:tcW w:w="8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5,979,121</w:t>
            </w:r>
          </w:p>
        </w:tc>
        <w:tc>
          <w:tcPr>
            <w:tcW w:w="81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217,220</w:t>
            </w:r>
          </w:p>
        </w:tc>
        <w:tc>
          <w:tcPr>
            <w:tcW w:w="1505"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David Natan:</w:t>
      </w:r>
    </w:p>
    <w:p>
      <w:pPr>
        <w:pStyle w:val="TextBody"/>
        <w:bidi w:val="0"/>
        <w:spacing w:before="0" w:after="0"/>
        <w:ind w:left="0" w:right="0" w:hanging="0"/>
        <w:jc w:val="left"/>
        <w:rPr>
          <w:caps w:val="false"/>
          <w:smallCaps w:val="false"/>
        </w:rPr>
      </w:pPr>
      <w:r>
        <w:rPr>
          <w:caps w:val="false"/>
          <w:smallCaps w:val="false"/>
        </w:rPr>
        <w:t> </w:t>
      </w:r>
    </w:p>
    <w:tbl>
      <w:tblPr>
        <w:tblW w:w="3165" w:type="dxa"/>
        <w:jc w:val="left"/>
        <w:tblInd w:w="0" w:type="dxa"/>
        <w:tblLayout w:type="fixed"/>
        <w:tblCellMar>
          <w:top w:w="0" w:type="dxa"/>
          <w:left w:w="0" w:type="dxa"/>
          <w:bottom w:w="0" w:type="dxa"/>
          <w:right w:w="0" w:type="dxa"/>
        </w:tblCellMar>
      </w:tblPr>
      <w:tblGrid>
        <w:gridCol w:w="845"/>
        <w:gridCol w:w="815"/>
        <w:gridCol w:w="1505"/>
      </w:tblGrid>
      <w:tr>
        <w:trPr/>
        <w:tc>
          <w:tcPr>
            <w:tcW w:w="84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w:t>
            </w:r>
          </w:p>
        </w:tc>
        <w:tc>
          <w:tcPr>
            <w:tcW w:w="81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Withhold</w:t>
            </w:r>
          </w:p>
        </w:tc>
        <w:tc>
          <w:tcPr>
            <w:tcW w:w="150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BrokerNon-Votes</w:t>
            </w:r>
          </w:p>
        </w:tc>
      </w:tr>
      <w:tr>
        <w:trPr/>
        <w:tc>
          <w:tcPr>
            <w:tcW w:w="8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5,756,971</w:t>
            </w:r>
          </w:p>
        </w:tc>
        <w:tc>
          <w:tcPr>
            <w:tcW w:w="81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439,370</w:t>
            </w:r>
          </w:p>
        </w:tc>
        <w:tc>
          <w:tcPr>
            <w:tcW w:w="1505"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Proposal No. 3:</w:t>
      </w:r>
      <w:r>
        <w:rPr>
          <w:rFonts w:ascii="Times New Roman" w:hAnsi="Times New Roman"/>
          <w:caps w:val="false"/>
          <w:smallCaps w:val="false"/>
          <w:sz w:val="20"/>
        </w:rPr>
        <w:t xml:space="preserve"> To approve, in accordance with Nasdaq Listing Rule 5635(b) (such rules, the “</w:t>
      </w:r>
      <w:r>
        <w:rPr>
          <w:rFonts w:ascii="Times New Roman" w:hAnsi="Times New Roman"/>
          <w:b/>
          <w:i/>
          <w:caps w:val="false"/>
          <w:smallCaps w:val="false"/>
          <w:sz w:val="20"/>
        </w:rPr>
        <w:t>Nasdaq Listing Rules</w:t>
      </w:r>
      <w:r>
        <w:rPr>
          <w:rFonts w:ascii="Times New Roman" w:hAnsi="Times New Roman"/>
          <w:caps w:val="false"/>
          <w:smallCaps w:val="false"/>
          <w:sz w:val="20"/>
        </w:rPr>
        <w:t>”), the issuance of shares of Common Stock, upon conversion of the Preferred Stock (the “</w:t>
      </w:r>
      <w:r>
        <w:rPr>
          <w:rFonts w:ascii="Times New Roman" w:hAnsi="Times New Roman"/>
          <w:b/>
          <w:i/>
          <w:caps w:val="false"/>
          <w:smallCaps w:val="false"/>
          <w:sz w:val="20"/>
        </w:rPr>
        <w:t>Change of Control Proposal</w:t>
      </w:r>
      <w:r>
        <w:rPr>
          <w:rFonts w:ascii="Times New Roman" w:hAnsi="Times New Roman"/>
          <w:caps w:val="false"/>
          <w:smallCaps w:val="false"/>
          <w:sz w:val="20"/>
        </w:rPr>
        <w:t>” or “</w:t>
      </w:r>
      <w:r>
        <w:rPr>
          <w:rFonts w:ascii="Times New Roman" w:hAnsi="Times New Roman"/>
          <w:b/>
          <w:i/>
          <w:caps w:val="false"/>
          <w:smallCaps w:val="false"/>
          <w:sz w:val="20"/>
        </w:rPr>
        <w:t>Proposal 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845"/>
        <w:gridCol w:w="695"/>
        <w:gridCol w:w="995"/>
        <w:gridCol w:w="1505"/>
      </w:tblGrid>
      <w:tr>
        <w:trPr/>
        <w:tc>
          <w:tcPr>
            <w:tcW w:w="84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w:t>
            </w:r>
          </w:p>
        </w:tc>
        <w:tc>
          <w:tcPr>
            <w:tcW w:w="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Against</w:t>
            </w:r>
          </w:p>
        </w:tc>
        <w:tc>
          <w:tcPr>
            <w:tcW w:w="9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Abstentions</w:t>
            </w:r>
          </w:p>
        </w:tc>
        <w:tc>
          <w:tcPr>
            <w:tcW w:w="150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BrokerNon-Votes</w:t>
            </w:r>
          </w:p>
        </w:tc>
      </w:tr>
      <w:tr>
        <w:trPr/>
        <w:tc>
          <w:tcPr>
            <w:tcW w:w="8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5,856,704</w:t>
            </w:r>
          </w:p>
        </w:tc>
        <w:tc>
          <w:tcPr>
            <w:tcW w:w="6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274,767</w:t>
            </w:r>
          </w:p>
        </w:tc>
        <w:tc>
          <w:tcPr>
            <w:tcW w:w="9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64,870</w:t>
            </w:r>
          </w:p>
        </w:tc>
        <w:tc>
          <w:tcPr>
            <w:tcW w:w="1505"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Proposal No. 4:</w:t>
      </w:r>
      <w:r>
        <w:rPr>
          <w:rFonts w:ascii="Times New Roman" w:hAnsi="Times New Roman"/>
          <w:caps w:val="false"/>
          <w:smallCaps w:val="false"/>
          <w:sz w:val="20"/>
        </w:rPr>
        <w:t xml:space="preserve"> To approve, in accordance with Nasdaq Listing Rule 5635(c), the issuance of shares of Common Stock upon the conversion of the Preferred Stock to a director of the Company (the “</w:t>
      </w:r>
      <w:r>
        <w:rPr>
          <w:rFonts w:ascii="Times New Roman" w:hAnsi="Times New Roman"/>
          <w:b/>
          <w:i/>
          <w:caps w:val="false"/>
          <w:smallCaps w:val="false"/>
          <w:sz w:val="20"/>
        </w:rPr>
        <w:t>Related Party Proposal</w:t>
      </w:r>
      <w:r>
        <w:rPr>
          <w:rFonts w:ascii="Times New Roman" w:hAnsi="Times New Roman"/>
          <w:caps w:val="false"/>
          <w:smallCaps w:val="false"/>
          <w:sz w:val="20"/>
        </w:rPr>
        <w:t>” or “</w:t>
      </w:r>
      <w:r>
        <w:rPr>
          <w:rFonts w:ascii="Times New Roman" w:hAnsi="Times New Roman"/>
          <w:b/>
          <w:i/>
          <w:caps w:val="false"/>
          <w:smallCaps w:val="false"/>
          <w:sz w:val="20"/>
        </w:rPr>
        <w:t>Proposal 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845"/>
        <w:gridCol w:w="695"/>
        <w:gridCol w:w="995"/>
        <w:gridCol w:w="1505"/>
      </w:tblGrid>
      <w:tr>
        <w:trPr/>
        <w:tc>
          <w:tcPr>
            <w:tcW w:w="84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w:t>
            </w:r>
          </w:p>
        </w:tc>
        <w:tc>
          <w:tcPr>
            <w:tcW w:w="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Against</w:t>
            </w:r>
          </w:p>
        </w:tc>
        <w:tc>
          <w:tcPr>
            <w:tcW w:w="9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Abstentions</w:t>
            </w:r>
          </w:p>
        </w:tc>
        <w:tc>
          <w:tcPr>
            <w:tcW w:w="150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BrokerNon-Votes</w:t>
            </w:r>
          </w:p>
        </w:tc>
      </w:tr>
      <w:tr>
        <w:trPr/>
        <w:tc>
          <w:tcPr>
            <w:tcW w:w="8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5,860,819</w:t>
            </w:r>
          </w:p>
        </w:tc>
        <w:tc>
          <w:tcPr>
            <w:tcW w:w="6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274,743</w:t>
            </w:r>
          </w:p>
        </w:tc>
        <w:tc>
          <w:tcPr>
            <w:tcW w:w="9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60,779</w:t>
            </w:r>
          </w:p>
        </w:tc>
        <w:tc>
          <w:tcPr>
            <w:tcW w:w="1505"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Proposal No. 5:</w:t>
      </w:r>
      <w:r>
        <w:rPr>
          <w:rFonts w:ascii="Times New Roman" w:hAnsi="Times New Roman"/>
          <w:caps w:val="false"/>
          <w:smallCaps w:val="false"/>
          <w:sz w:val="20"/>
        </w:rPr>
        <w:t xml:space="preserve"> To approve, in accordance with Nasdaq Listing Rule 5635(d), the issuance of shares of Common Stock upon conversion of the Preferred Stock (the “</w:t>
      </w:r>
      <w:r>
        <w:rPr>
          <w:rFonts w:ascii="Times New Roman" w:hAnsi="Times New Roman"/>
          <w:b/>
          <w:i/>
          <w:caps w:val="false"/>
          <w:smallCaps w:val="false"/>
          <w:sz w:val="20"/>
        </w:rPr>
        <w:t>Issuance Proposal</w:t>
      </w:r>
      <w:r>
        <w:rPr>
          <w:rFonts w:ascii="Times New Roman" w:hAnsi="Times New Roman"/>
          <w:caps w:val="false"/>
          <w:smallCaps w:val="false"/>
          <w:sz w:val="20"/>
        </w:rPr>
        <w:t>” or “</w:t>
      </w:r>
      <w:r>
        <w:rPr>
          <w:rFonts w:ascii="Times New Roman" w:hAnsi="Times New Roman"/>
          <w:b/>
          <w:i/>
          <w:caps w:val="false"/>
          <w:smallCaps w:val="false"/>
          <w:sz w:val="20"/>
        </w:rPr>
        <w:t>Proposal 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845"/>
        <w:gridCol w:w="695"/>
        <w:gridCol w:w="995"/>
        <w:gridCol w:w="1505"/>
      </w:tblGrid>
      <w:tr>
        <w:trPr/>
        <w:tc>
          <w:tcPr>
            <w:tcW w:w="84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w:t>
            </w:r>
          </w:p>
        </w:tc>
        <w:tc>
          <w:tcPr>
            <w:tcW w:w="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Against</w:t>
            </w:r>
          </w:p>
        </w:tc>
        <w:tc>
          <w:tcPr>
            <w:tcW w:w="9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Abstentions</w:t>
            </w:r>
          </w:p>
        </w:tc>
        <w:tc>
          <w:tcPr>
            <w:tcW w:w="150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BrokerNon-Votes</w:t>
            </w:r>
          </w:p>
        </w:tc>
      </w:tr>
      <w:tr>
        <w:trPr/>
        <w:tc>
          <w:tcPr>
            <w:tcW w:w="8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5,869,703</w:t>
            </w:r>
          </w:p>
        </w:tc>
        <w:tc>
          <w:tcPr>
            <w:tcW w:w="6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272,731</w:t>
            </w:r>
          </w:p>
        </w:tc>
        <w:tc>
          <w:tcPr>
            <w:tcW w:w="9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53,907</w:t>
            </w:r>
          </w:p>
        </w:tc>
        <w:tc>
          <w:tcPr>
            <w:tcW w:w="1505"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Proposal No. 6:</w:t>
      </w:r>
      <w:r>
        <w:rPr>
          <w:rFonts w:ascii="Times New Roman" w:hAnsi="Times New Roman"/>
          <w:caps w:val="false"/>
          <w:smallCaps w:val="false"/>
          <w:sz w:val="20"/>
        </w:rPr>
        <w:t xml:space="preserve"> To approve an amendment to the Charter, in the form set forth on Annex C attached to the accompanying proxy statement, to effect a reverse stock split (the “</w:t>
      </w:r>
      <w:r>
        <w:rPr>
          <w:rFonts w:ascii="Times New Roman" w:hAnsi="Times New Roman"/>
          <w:b/>
          <w:i/>
          <w:caps w:val="false"/>
          <w:smallCaps w:val="false"/>
          <w:sz w:val="20"/>
        </w:rPr>
        <w:t>Reverse Stock Split</w:t>
      </w:r>
      <w:r>
        <w:rPr>
          <w:rFonts w:ascii="Times New Roman" w:hAnsi="Times New Roman"/>
          <w:caps w:val="false"/>
          <w:smallCaps w:val="false"/>
          <w:sz w:val="20"/>
        </w:rPr>
        <w:t>”) with respect to the Company’s issued and outstanding shares of Common Stock having an aggregate ratio of 1-for-2 to 1-for-99 (the “</w:t>
      </w:r>
      <w:r>
        <w:rPr>
          <w:rFonts w:ascii="Times New Roman" w:hAnsi="Times New Roman"/>
          <w:b/>
          <w:i/>
          <w:caps w:val="false"/>
          <w:smallCaps w:val="false"/>
          <w:sz w:val="20"/>
        </w:rPr>
        <w:t>Range</w:t>
      </w:r>
      <w:r>
        <w:rPr>
          <w:rFonts w:ascii="Times New Roman" w:hAnsi="Times New Roman"/>
          <w:caps w:val="false"/>
          <w:smallCaps w:val="false"/>
          <w:sz w:val="20"/>
        </w:rPr>
        <w:t>”), with the ratio at which the Reverse Stock Split would be effected to be a ratio within the Range to be determined at the discretion of the Board and included in a public announcement by the Company before the effectiveness of a Reverse Stock Split (the “</w:t>
      </w:r>
      <w:r>
        <w:rPr>
          <w:rFonts w:ascii="Times New Roman" w:hAnsi="Times New Roman"/>
          <w:b/>
          <w:i/>
          <w:caps w:val="false"/>
          <w:smallCaps w:val="false"/>
          <w:sz w:val="20"/>
        </w:rPr>
        <w:t>Reverse Stock Split Proposal</w:t>
      </w:r>
      <w:r>
        <w:rPr>
          <w:rFonts w:ascii="Times New Roman" w:hAnsi="Times New Roman"/>
          <w:caps w:val="false"/>
          <w:smallCaps w:val="false"/>
          <w:sz w:val="20"/>
        </w:rPr>
        <w:t>” or “</w:t>
      </w:r>
      <w:r>
        <w:rPr>
          <w:rFonts w:ascii="Times New Roman" w:hAnsi="Times New Roman"/>
          <w:b/>
          <w:i/>
          <w:caps w:val="false"/>
          <w:smallCaps w:val="false"/>
          <w:sz w:val="20"/>
        </w:rPr>
        <w:t>Proposal 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845"/>
        <w:gridCol w:w="695"/>
        <w:gridCol w:w="995"/>
        <w:gridCol w:w="1505"/>
      </w:tblGrid>
      <w:tr>
        <w:trPr/>
        <w:tc>
          <w:tcPr>
            <w:tcW w:w="84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w:t>
            </w:r>
          </w:p>
        </w:tc>
        <w:tc>
          <w:tcPr>
            <w:tcW w:w="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Against</w:t>
            </w:r>
          </w:p>
        </w:tc>
        <w:tc>
          <w:tcPr>
            <w:tcW w:w="9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Abstentions</w:t>
            </w:r>
          </w:p>
        </w:tc>
        <w:tc>
          <w:tcPr>
            <w:tcW w:w="150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BrokerNon-Votes</w:t>
            </w:r>
          </w:p>
        </w:tc>
      </w:tr>
      <w:tr>
        <w:trPr/>
        <w:tc>
          <w:tcPr>
            <w:tcW w:w="8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5,527,027</w:t>
            </w:r>
          </w:p>
        </w:tc>
        <w:tc>
          <w:tcPr>
            <w:tcW w:w="6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629,497</w:t>
            </w:r>
          </w:p>
        </w:tc>
        <w:tc>
          <w:tcPr>
            <w:tcW w:w="9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39,817</w:t>
            </w:r>
          </w:p>
        </w:tc>
        <w:tc>
          <w:tcPr>
            <w:tcW w:w="1505"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Proposal No. 7:</w:t>
      </w:r>
      <w:r>
        <w:rPr>
          <w:rFonts w:ascii="Times New Roman" w:hAnsi="Times New Roman"/>
          <w:caps w:val="false"/>
          <w:smallCaps w:val="false"/>
          <w:sz w:val="20"/>
        </w:rPr>
        <w:t xml:space="preserve"> To approve an amendment to the Charter, in the form set forth on Annex D attached to the accompanying proxy statement, to increase the authorized shares of Common Stock from 500,000,000 to up to 1,000,000,000 at the discretion of the Board (the “</w:t>
      </w:r>
      <w:r>
        <w:rPr>
          <w:rFonts w:ascii="Times New Roman" w:hAnsi="Times New Roman"/>
          <w:b/>
          <w:i/>
          <w:caps w:val="false"/>
          <w:smallCaps w:val="false"/>
          <w:sz w:val="20"/>
        </w:rPr>
        <w:t>Authorized Stock Increase Proposal</w:t>
      </w:r>
      <w:r>
        <w:rPr>
          <w:rFonts w:ascii="Times New Roman" w:hAnsi="Times New Roman"/>
          <w:caps w:val="false"/>
          <w:smallCaps w:val="false"/>
          <w:sz w:val="20"/>
        </w:rPr>
        <w:t>” or “</w:t>
      </w:r>
      <w:r>
        <w:rPr>
          <w:rFonts w:ascii="Times New Roman" w:hAnsi="Times New Roman"/>
          <w:b/>
          <w:i/>
          <w:caps w:val="false"/>
          <w:smallCaps w:val="false"/>
          <w:sz w:val="20"/>
        </w:rPr>
        <w:t>Proposal 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845"/>
        <w:gridCol w:w="695"/>
        <w:gridCol w:w="995"/>
        <w:gridCol w:w="1505"/>
      </w:tblGrid>
      <w:tr>
        <w:trPr/>
        <w:tc>
          <w:tcPr>
            <w:tcW w:w="84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w:t>
            </w:r>
          </w:p>
        </w:tc>
        <w:tc>
          <w:tcPr>
            <w:tcW w:w="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Against</w:t>
            </w:r>
          </w:p>
        </w:tc>
        <w:tc>
          <w:tcPr>
            <w:tcW w:w="9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Abstentions</w:t>
            </w:r>
          </w:p>
        </w:tc>
        <w:tc>
          <w:tcPr>
            <w:tcW w:w="150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BrokerNon-Votes</w:t>
            </w:r>
          </w:p>
        </w:tc>
      </w:tr>
      <w:tr>
        <w:trPr/>
        <w:tc>
          <w:tcPr>
            <w:tcW w:w="8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5,554,814</w:t>
            </w:r>
          </w:p>
        </w:tc>
        <w:tc>
          <w:tcPr>
            <w:tcW w:w="6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601,732</w:t>
            </w:r>
          </w:p>
        </w:tc>
        <w:tc>
          <w:tcPr>
            <w:tcW w:w="9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39,795</w:t>
            </w:r>
          </w:p>
        </w:tc>
        <w:tc>
          <w:tcPr>
            <w:tcW w:w="1505"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Proposal No. 8:</w:t>
      </w:r>
      <w:r>
        <w:rPr>
          <w:rFonts w:ascii="Times New Roman" w:hAnsi="Times New Roman"/>
          <w:caps w:val="false"/>
          <w:smallCaps w:val="false"/>
          <w:sz w:val="20"/>
        </w:rPr>
        <w:t xml:space="preserve"> To approve any adjournment of the Special Meeting from time to time, if necessary or appropriate, to solicit additional votes in the event that there are insufficient shares present virtually or represented by proxy voting in favor of the foregoing proposals (the “</w:t>
      </w:r>
      <w:r>
        <w:rPr>
          <w:rFonts w:ascii="Times New Roman" w:hAnsi="Times New Roman"/>
          <w:b/>
          <w:i/>
          <w:caps w:val="false"/>
          <w:smallCaps w:val="false"/>
          <w:sz w:val="20"/>
        </w:rPr>
        <w:t>Adjournment Proposal</w:t>
      </w:r>
      <w:r>
        <w:rPr>
          <w:rFonts w:ascii="Times New Roman" w:hAnsi="Times New Roman"/>
          <w:caps w:val="false"/>
          <w:smallCaps w:val="false"/>
          <w:sz w:val="20"/>
        </w:rPr>
        <w:t>” or “</w:t>
      </w:r>
      <w:r>
        <w:rPr>
          <w:rFonts w:ascii="Times New Roman" w:hAnsi="Times New Roman"/>
          <w:b/>
          <w:i/>
          <w:caps w:val="false"/>
          <w:smallCaps w:val="false"/>
          <w:sz w:val="20"/>
        </w:rPr>
        <w:t>Proposal 8</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845"/>
        <w:gridCol w:w="695"/>
        <w:gridCol w:w="995"/>
        <w:gridCol w:w="1505"/>
      </w:tblGrid>
      <w:tr>
        <w:trPr/>
        <w:tc>
          <w:tcPr>
            <w:tcW w:w="84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w:t>
            </w:r>
          </w:p>
        </w:tc>
        <w:tc>
          <w:tcPr>
            <w:tcW w:w="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Against</w:t>
            </w:r>
          </w:p>
        </w:tc>
        <w:tc>
          <w:tcPr>
            <w:tcW w:w="9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Abstentions</w:t>
            </w:r>
          </w:p>
        </w:tc>
        <w:tc>
          <w:tcPr>
            <w:tcW w:w="150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BrokerNon-Votes</w:t>
            </w:r>
          </w:p>
        </w:tc>
      </w:tr>
      <w:tr>
        <w:trPr/>
        <w:tc>
          <w:tcPr>
            <w:tcW w:w="84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5,695,009</w:t>
            </w:r>
          </w:p>
        </w:tc>
        <w:tc>
          <w:tcPr>
            <w:tcW w:w="6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467,131</w:t>
            </w:r>
          </w:p>
        </w:tc>
        <w:tc>
          <w:tcPr>
            <w:tcW w:w="9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34,201</w:t>
            </w:r>
          </w:p>
        </w:tc>
        <w:tc>
          <w:tcPr>
            <w:tcW w:w="1505"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adjournment of the Special Meeting was not necessary because there were sufficient votes in favor of Proposals 1, 2, 3, 4, 5, 6 and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other matters were submitted to or voted on by the Company’s stockholders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8.01. 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15, 2026, the Board set August 17, 2026 as the payment date for the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3182" w:type="dxa"/>
        <w:jc w:val="left"/>
        <w:tblInd w:w="0" w:type="dxa"/>
        <w:tblLayout w:type="fixed"/>
        <w:tblCellMar>
          <w:top w:w="28" w:type="dxa"/>
          <w:left w:w="28" w:type="dxa"/>
          <w:bottom w:w="28" w:type="dxa"/>
          <w:right w:w="28" w:type="dxa"/>
        </w:tblCellMar>
      </w:tblPr>
      <w:tblGrid>
        <w:gridCol w:w="346"/>
        <w:gridCol w:w="2836"/>
      </w:tblGrid>
      <w:tr>
        <w:trPr/>
        <w:tc>
          <w:tcPr>
            <w:tcW w:w="3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28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 Forma Financial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unaudited pro forma financial information required by Item 9.01(b) of Form 8-K was previously included in the Definitive Proxy Statement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232" w:type="dxa"/>
        <w:jc w:val="left"/>
        <w:tblInd w:w="0" w:type="dxa"/>
        <w:tblLayout w:type="fixed"/>
        <w:tblCellMar>
          <w:top w:w="28" w:type="dxa"/>
          <w:left w:w="28" w:type="dxa"/>
          <w:bottom w:w="28" w:type="dxa"/>
          <w:right w:w="28" w:type="dxa"/>
        </w:tblCellMar>
      </w:tblPr>
      <w:tblGrid>
        <w:gridCol w:w="346"/>
        <w:gridCol w:w="886"/>
      </w:tblGrid>
      <w:tr>
        <w:trPr/>
        <w:tc>
          <w:tcPr>
            <w:tcW w:w="3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8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1"/>
        <w:gridCol w:w="80"/>
        <w:gridCol w:w="9164"/>
      </w:tblGrid>
      <w:tr>
        <w:trPr/>
        <w:tc>
          <w:tcPr>
            <w:tcW w:w="961"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xml:space="preserve"> </w:t>
              <w:br/>
            </w:r>
            <w:r>
              <w:rPr>
                <w:rFonts w:ascii="Times New Roman" w:hAnsi="Times New Roman"/>
                <w:b/>
                <w:caps w:val="false"/>
                <w:smallCaps w:val="false"/>
                <w:sz w:val="20"/>
              </w:rPr>
              <w:t>Number</w:t>
            </w:r>
          </w:p>
        </w:tc>
        <w:tc>
          <w:tcPr>
            <w:tcW w:w="80" w:type="dxa"/>
            <w:tcBorders/>
            <w:tcMar>
              <w:bottom w:w="0" w:type="dxa"/>
            </w:tcMar>
            <w:vAlign w:val="center"/>
          </w:tcPr>
          <w:p>
            <w:pPr>
              <w:pStyle w:val="TableContents"/>
              <w:bidi w:val="0"/>
              <w:spacing w:before="0" w:after="0"/>
              <w:ind w:left="0" w:right="0" w:hanging="0"/>
              <w:jc w:val="left"/>
              <w:rPr/>
            </w:pPr>
            <w:r>
              <w:rPr/>
              <w:t> </w:t>
            </w:r>
          </w:p>
        </w:tc>
        <w:tc>
          <w:tcPr>
            <w:tcW w:w="9164"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Document</w:t>
            </w:r>
          </w:p>
        </w:tc>
      </w:tr>
      <w:tr>
        <w:trPr/>
        <w:tc>
          <w:tcPr>
            <w:tcW w:w="961" w:type="dxa"/>
            <w:tcBorders/>
            <w:tcMar>
              <w:bottom w:w="0" w:type="dxa"/>
            </w:tcMar>
            <w:vAlign w:val="center"/>
          </w:tcPr>
          <w:p>
            <w:pPr>
              <w:pStyle w:val="TableContents"/>
              <w:bidi w:val="0"/>
              <w:spacing w:before="0" w:after="0"/>
              <w:ind w:left="0" w:right="0" w:hanging="0"/>
              <w:jc w:val="left"/>
              <w:rPr/>
            </w:pPr>
            <w:r>
              <w:rPr/>
              <w:t> </w:t>
            </w:r>
          </w:p>
        </w:tc>
        <w:tc>
          <w:tcPr>
            <w:tcW w:w="80" w:type="dxa"/>
            <w:tcBorders/>
            <w:tcMar>
              <w:bottom w:w="0" w:type="dxa"/>
            </w:tcMar>
            <w:vAlign w:val="center"/>
          </w:tcPr>
          <w:p>
            <w:pPr>
              <w:pStyle w:val="TableContents"/>
              <w:bidi w:val="0"/>
              <w:spacing w:before="0" w:after="0"/>
              <w:ind w:left="0" w:right="0" w:hanging="0"/>
              <w:jc w:val="left"/>
              <w:rPr/>
            </w:pPr>
            <w:r>
              <w:rPr/>
              <w:t> </w:t>
            </w:r>
          </w:p>
        </w:tc>
        <w:tc>
          <w:tcPr>
            <w:tcW w:w="9164" w:type="dxa"/>
            <w:tcBorders/>
            <w:tcMar>
              <w:bottom w:w="0" w:type="dxa"/>
            </w:tcMar>
            <w:vAlign w:val="center"/>
          </w:tcPr>
          <w:p>
            <w:pPr>
              <w:pStyle w:val="TableContents"/>
              <w:bidi w:val="0"/>
              <w:spacing w:before="0" w:after="0"/>
              <w:ind w:left="0" w:right="0" w:hanging="0"/>
              <w:jc w:val="left"/>
              <w:rPr/>
            </w:pPr>
            <w:r>
              <w:rPr/>
              <w:t> </w:t>
            </w:r>
          </w:p>
        </w:tc>
      </w:tr>
      <w:tr>
        <w:trPr/>
        <w:tc>
          <w:tcPr>
            <w:tcW w:w="961" w:type="dxa"/>
            <w:tcBorders/>
            <w:tcMar>
              <w:bottom w:w="0" w:type="dxa"/>
            </w:tcMar>
            <w:vAlign w:val="center"/>
          </w:tcPr>
          <w:p>
            <w:pPr>
              <w:pStyle w:val="TableContents"/>
              <w:bidi w:val="0"/>
              <w:spacing w:before="0" w:after="0"/>
              <w:ind w:left="0" w:right="0" w:hanging="0"/>
              <w:jc w:val="left"/>
              <w:rPr/>
            </w:pPr>
            <w:r>
              <w:rPr/>
              <w:t> </w:t>
            </w:r>
          </w:p>
        </w:tc>
        <w:tc>
          <w:tcPr>
            <w:tcW w:w="80" w:type="dxa"/>
            <w:tcBorders/>
            <w:tcMar>
              <w:bottom w:w="0" w:type="dxa"/>
            </w:tcMar>
            <w:vAlign w:val="center"/>
          </w:tcPr>
          <w:p>
            <w:pPr>
              <w:pStyle w:val="TableContents"/>
              <w:bidi w:val="0"/>
              <w:spacing w:before="0" w:after="0"/>
              <w:ind w:left="0" w:right="0" w:hanging="0"/>
              <w:jc w:val="left"/>
              <w:rPr/>
            </w:pPr>
            <w:r>
              <w:rPr/>
              <w:t> </w:t>
            </w:r>
          </w:p>
        </w:tc>
        <w:tc>
          <w:tcPr>
            <w:tcW w:w="9164" w:type="dxa"/>
            <w:tcBorders/>
            <w:tcMar>
              <w:bottom w:w="0" w:type="dxa"/>
            </w:tcMar>
            <w:vAlign w:val="center"/>
          </w:tcPr>
          <w:p>
            <w:pPr>
              <w:pStyle w:val="TableContents"/>
              <w:bidi w:val="0"/>
              <w:spacing w:before="0" w:after="0"/>
              <w:ind w:left="0" w:right="0" w:hanging="0"/>
              <w:jc w:val="left"/>
              <w:rPr/>
            </w:pPr>
            <w:r>
              <w:rPr/>
              <w:t> </w:t>
            </w:r>
          </w:p>
        </w:tc>
      </w:tr>
      <w:tr>
        <w:trPr/>
        <w:tc>
          <w:tcPr>
            <w:tcW w:w="96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80" w:type="dxa"/>
            <w:tcBorders/>
            <w:tcMar>
              <w:bottom w:w="0" w:type="dxa"/>
            </w:tcMar>
            <w:vAlign w:val="center"/>
          </w:tcPr>
          <w:p>
            <w:pPr>
              <w:pStyle w:val="TableContents"/>
              <w:bidi w:val="0"/>
              <w:spacing w:before="0" w:after="0"/>
              <w:ind w:left="0" w:right="0" w:hanging="0"/>
              <w:jc w:val="left"/>
              <w:rPr/>
            </w:pPr>
            <w:r>
              <w:rPr/>
              <w:t> </w:t>
            </w:r>
          </w:p>
        </w:tc>
        <w:tc>
          <w:tcPr>
            <w:tcW w:w="9164" w:type="dxa"/>
            <w:tcBorders/>
            <w:tcMar>
              <w:bottom w:w="0" w:type="dxa"/>
            </w:tcMar>
            <w:vAlign w:val="center"/>
          </w:tcPr>
          <w:p>
            <w:pPr>
              <w:pStyle w:val="TableContents"/>
              <w:bidi w:val="0"/>
              <w:spacing w:before="0" w:after="0"/>
              <w:ind w:left="0" w:right="0" w:hanging="0"/>
              <w:jc w:val="left"/>
              <w:rPr/>
            </w:pPr>
            <w:hyperlink w:anchor="ex_989865.htm">
              <w:r>
                <w:rPr>
                  <w:rStyle w:val="InternetLink"/>
                  <w:rFonts w:ascii="Times New Roman" w:hAnsi="Times New Roman"/>
                  <w:caps w:val="false"/>
                  <w:smallCaps w:val="false"/>
                  <w:sz w:val="20"/>
                </w:rPr>
                <w:t>Certificate of Designation of Preferences and Rights of Series AAA Convertible Non-Redeemable Preferred Stock of Aterian, Inc.</w:t>
              </w:r>
            </w:hyperlink>
          </w:p>
        </w:tc>
      </w:tr>
      <w:tr>
        <w:trPr/>
        <w:tc>
          <w:tcPr>
            <w:tcW w:w="961" w:type="dxa"/>
            <w:tcBorders/>
            <w:tcMar>
              <w:bottom w:w="0" w:type="dxa"/>
            </w:tcMar>
            <w:vAlign w:val="center"/>
          </w:tcPr>
          <w:p>
            <w:pPr>
              <w:pStyle w:val="TableContents"/>
              <w:bidi w:val="0"/>
              <w:spacing w:before="0" w:after="0"/>
              <w:ind w:left="0" w:right="0" w:hanging="0"/>
              <w:jc w:val="left"/>
              <w:rPr/>
            </w:pPr>
            <w:r>
              <w:rPr/>
              <w:t> </w:t>
            </w:r>
          </w:p>
        </w:tc>
        <w:tc>
          <w:tcPr>
            <w:tcW w:w="80" w:type="dxa"/>
            <w:tcBorders/>
            <w:tcMar>
              <w:bottom w:w="0" w:type="dxa"/>
            </w:tcMar>
            <w:vAlign w:val="center"/>
          </w:tcPr>
          <w:p>
            <w:pPr>
              <w:pStyle w:val="TableContents"/>
              <w:bidi w:val="0"/>
              <w:spacing w:before="0" w:after="0"/>
              <w:ind w:left="0" w:right="0" w:hanging="0"/>
              <w:jc w:val="left"/>
              <w:rPr/>
            </w:pPr>
            <w:r>
              <w:rPr/>
              <w:t> </w:t>
            </w:r>
          </w:p>
        </w:tc>
        <w:tc>
          <w:tcPr>
            <w:tcW w:w="9164" w:type="dxa"/>
            <w:tcBorders/>
            <w:tcMar>
              <w:bottom w:w="0" w:type="dxa"/>
            </w:tcMar>
            <w:vAlign w:val="center"/>
          </w:tcPr>
          <w:p>
            <w:pPr>
              <w:pStyle w:val="TableContents"/>
              <w:bidi w:val="0"/>
              <w:spacing w:before="0" w:after="0"/>
              <w:ind w:left="0" w:right="0" w:hanging="0"/>
              <w:jc w:val="left"/>
              <w:rPr/>
            </w:pPr>
            <w:r>
              <w:rPr/>
              <w:t> </w:t>
            </w:r>
          </w:p>
        </w:tc>
      </w:tr>
      <w:tr>
        <w:trPr/>
        <w:tc>
          <w:tcPr>
            <w:tcW w:w="96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80" w:type="dxa"/>
            <w:tcBorders/>
            <w:tcMar>
              <w:bottom w:w="0" w:type="dxa"/>
            </w:tcMar>
            <w:vAlign w:val="center"/>
          </w:tcPr>
          <w:p>
            <w:pPr>
              <w:pStyle w:val="TableContents"/>
              <w:bidi w:val="0"/>
              <w:spacing w:before="0" w:after="0"/>
              <w:ind w:left="0" w:right="0" w:hanging="0"/>
              <w:jc w:val="left"/>
              <w:rPr/>
            </w:pPr>
            <w:r>
              <w:rPr/>
              <w:t> </w:t>
            </w:r>
          </w:p>
        </w:tc>
        <w:tc>
          <w:tcPr>
            <w:tcW w:w="9164" w:type="dxa"/>
            <w:tcBorders/>
            <w:tcMar>
              <w:bottom w:w="0" w:type="dxa"/>
            </w:tcMar>
            <w:vAlign w:val="center"/>
          </w:tcPr>
          <w:p>
            <w:pPr>
              <w:pStyle w:val="TableContents"/>
              <w:bidi w:val="0"/>
              <w:spacing w:before="0" w:after="0"/>
              <w:ind w:left="0" w:right="0" w:hanging="0"/>
              <w:jc w:val="left"/>
              <w:rPr/>
            </w:pPr>
            <w:hyperlink w:anchor="ex_989840.htm">
              <w:r>
                <w:rPr>
                  <w:rStyle w:val="InternetLink"/>
                  <w:rFonts w:ascii="Times New Roman" w:hAnsi="Times New Roman"/>
                  <w:caps w:val="false"/>
                  <w:smallCaps w:val="false"/>
                  <w:sz w:val="20"/>
                </w:rPr>
                <w:t>Contingent Value Rights Agreement, dated July 17, 2026, between Aterian, Inc. and Broadridge Corporate Issuer Solutions, LLC.</w:t>
              </w:r>
            </w:hyperlink>
          </w:p>
        </w:tc>
      </w:tr>
      <w:tr>
        <w:trPr/>
        <w:tc>
          <w:tcPr>
            <w:tcW w:w="961" w:type="dxa"/>
            <w:tcBorders/>
            <w:tcMar>
              <w:bottom w:w="0" w:type="dxa"/>
            </w:tcMar>
            <w:vAlign w:val="center"/>
          </w:tcPr>
          <w:p>
            <w:pPr>
              <w:pStyle w:val="TableContents"/>
              <w:bidi w:val="0"/>
              <w:spacing w:before="0" w:after="0"/>
              <w:ind w:left="0" w:right="0" w:hanging="0"/>
              <w:jc w:val="left"/>
              <w:rPr/>
            </w:pPr>
            <w:r>
              <w:rPr/>
              <w:t> </w:t>
            </w:r>
          </w:p>
        </w:tc>
        <w:tc>
          <w:tcPr>
            <w:tcW w:w="80" w:type="dxa"/>
            <w:tcBorders/>
            <w:tcMar>
              <w:bottom w:w="0" w:type="dxa"/>
            </w:tcMar>
            <w:vAlign w:val="center"/>
          </w:tcPr>
          <w:p>
            <w:pPr>
              <w:pStyle w:val="TableContents"/>
              <w:bidi w:val="0"/>
              <w:spacing w:before="0" w:after="0"/>
              <w:ind w:left="0" w:right="0" w:hanging="0"/>
              <w:jc w:val="left"/>
              <w:rPr/>
            </w:pPr>
            <w:r>
              <w:rPr/>
              <w:t> </w:t>
            </w:r>
          </w:p>
        </w:tc>
        <w:tc>
          <w:tcPr>
            <w:tcW w:w="9164" w:type="dxa"/>
            <w:tcBorders/>
            <w:tcMar>
              <w:bottom w:w="0" w:type="dxa"/>
            </w:tcMar>
            <w:vAlign w:val="center"/>
          </w:tcPr>
          <w:p>
            <w:pPr>
              <w:pStyle w:val="TableContents"/>
              <w:bidi w:val="0"/>
              <w:spacing w:before="0" w:after="0"/>
              <w:ind w:left="0" w:right="0" w:hanging="0"/>
              <w:jc w:val="left"/>
              <w:rPr/>
            </w:pPr>
            <w:r>
              <w:rPr/>
              <w:t> </w:t>
            </w:r>
          </w:p>
        </w:tc>
      </w:tr>
      <w:tr>
        <w:trPr/>
        <w:tc>
          <w:tcPr>
            <w:tcW w:w="961"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w:t>
            </w:r>
          </w:p>
        </w:tc>
        <w:tc>
          <w:tcPr>
            <w:tcW w:w="80" w:type="dxa"/>
            <w:tcBorders/>
            <w:tcMar>
              <w:bottom w:w="0" w:type="dxa"/>
            </w:tcMar>
            <w:vAlign w:val="center"/>
          </w:tcPr>
          <w:p>
            <w:pPr>
              <w:pStyle w:val="TableContents"/>
              <w:bidi w:val="0"/>
              <w:spacing w:before="0" w:after="0"/>
              <w:ind w:left="0" w:right="0" w:hanging="0"/>
              <w:jc w:val="left"/>
              <w:rPr/>
            </w:pPr>
            <w:r>
              <w:rPr/>
              <w:t> </w:t>
            </w:r>
          </w:p>
        </w:tc>
        <w:tc>
          <w:tcPr>
            <w:tcW w:w="9164"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Cover Page Interactive Data File (embedded within the Inline XBRL document)</w:t>
            </w:r>
          </w:p>
        </w:tc>
      </w:tr>
      <w:tr>
        <w:trPr/>
        <w:tc>
          <w:tcPr>
            <w:tcW w:w="961" w:type="dxa"/>
            <w:tcBorders>
              <w:bottom w:val="single" w:sz="2" w:space="0" w:color="000000"/>
            </w:tcBorders>
            <w:vAlign w:val="center"/>
          </w:tcPr>
          <w:p>
            <w:pPr>
              <w:pStyle w:val="TableContents"/>
              <w:bidi w:val="0"/>
              <w:spacing w:before="0" w:after="0"/>
              <w:ind w:left="0" w:right="0" w:hanging="0"/>
              <w:jc w:val="left"/>
              <w:rPr/>
            </w:pPr>
            <w:r>
              <w:rPr/>
              <w:t> </w:t>
            </w:r>
          </w:p>
        </w:tc>
        <w:tc>
          <w:tcPr>
            <w:tcW w:w="80" w:type="dxa"/>
            <w:tcBorders>
              <w:bottom w:val="single" w:sz="2" w:space="0" w:color="000000"/>
            </w:tcBorders>
            <w:vAlign w:val="center"/>
          </w:tcPr>
          <w:p>
            <w:pPr>
              <w:pStyle w:val="TableContents"/>
              <w:bidi w:val="0"/>
              <w:spacing w:before="0" w:after="0"/>
              <w:ind w:left="0" w:right="0" w:hanging="0"/>
              <w:jc w:val="left"/>
              <w:rPr/>
            </w:pPr>
            <w:r>
              <w:rPr/>
              <w:t> </w:t>
            </w:r>
          </w:p>
        </w:tc>
        <w:tc>
          <w:tcPr>
            <w:tcW w:w="9164" w:type="dxa"/>
            <w:tcBorders>
              <w:bottom w:val="single" w:sz="2" w:space="0" w:color="000000"/>
            </w:tcBorders>
            <w:vAlign w:val="center"/>
          </w:tcPr>
          <w:p>
            <w:pPr>
              <w:pStyle w:val="TableContents"/>
              <w:bidi w:val="0"/>
              <w:spacing w:before="0" w:after="0"/>
              <w:ind w:left="0" w:right="0" w:hanging="0"/>
              <w:jc w:val="left"/>
              <w:rPr/>
            </w:pPr>
            <w:r>
              <w:rPr/>
              <w:t> </w:t>
            </w:r>
          </w:p>
        </w:tc>
      </w:tr>
      <w:tr>
        <w:trPr/>
        <w:tc>
          <w:tcPr>
            <w:tcW w:w="10205" w:type="dxa"/>
            <w:gridSpan w:val="3"/>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Certain schedules referenced herein have been omitted in accordance with Item 601(b)(2) of Regulation S-K. A copy of any omitted schedule and/or exhibit will be furnished supplementally to the Securities and Exchange Commission upon request.</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2494" w:type="dxa"/>
        <w:jc w:val="left"/>
        <w:tblInd w:w="0" w:type="dxa"/>
        <w:tblLayout w:type="fixed"/>
        <w:tblCellMar>
          <w:top w:w="0" w:type="dxa"/>
          <w:left w:w="0" w:type="dxa"/>
          <w:bottom w:w="0" w:type="dxa"/>
          <w:right w:w="0" w:type="dxa"/>
        </w:tblCellMar>
      </w:tblPr>
      <w:tblGrid>
        <w:gridCol w:w="60"/>
        <w:gridCol w:w="402"/>
        <w:gridCol w:w="1972"/>
        <w:gridCol w:w="60"/>
      </w:tblGrid>
      <w:tr>
        <w:trPr/>
        <w:tc>
          <w:tcPr>
            <w:tcW w:w="60" w:type="dxa"/>
            <w:tcBorders/>
            <w:vAlign w:val="center"/>
          </w:tcPr>
          <w:p>
            <w:pPr>
              <w:pStyle w:val="TableContents"/>
              <w:bidi w:val="0"/>
              <w:spacing w:before="0" w:after="0"/>
              <w:ind w:left="0" w:right="0" w:hanging="0"/>
              <w:jc w:val="left"/>
              <w:rPr/>
            </w:pPr>
            <w:r>
              <w:rPr/>
              <w:t> </w:t>
            </w:r>
          </w:p>
        </w:tc>
        <w:tc>
          <w:tcPr>
            <w:tcW w:w="2374"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ATERIAN, INC.</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left"/>
              <w:rPr/>
            </w:pPr>
            <w:r>
              <w:rPr/>
              <w:t> </w:t>
            </w:r>
          </w:p>
        </w:tc>
        <w:tc>
          <w:tcPr>
            <w:tcW w:w="19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0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972"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Joshua Feldman</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374"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Joshua Feldman</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374"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Chief Financial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20, 2026</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4" w:name="ex_989865.htm"/>
      <w:bookmarkStart w:id="5" w:name="ksex_989865"/>
      <w:bookmarkEnd w:id="4"/>
      <w:bookmarkEnd w:id="5"/>
      <w:r>
        <w:rPr>
          <w:rFonts w:ascii="Times New Roman;Times;serif" w:hAnsi="Times New Roman;Times;serif"/>
          <w:b/>
          <w:sz w:val="20"/>
        </w:rPr>
        <w:t>Exhibit 3.1</w:t>
      </w:r>
      <w:r>
        <w:rPr>
          <w:rFonts w:ascii="Times New Roman;Times;serif" w:hAnsi="Times New Roman;Times;serif"/>
          <w:sz w:val="20"/>
        </w:rPr>
        <w:t xml:space="preserve">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CERTIFICATE OF DESIGNATION OF PREFERENCES</w:t>
      </w:r>
      <w:r>
        <w:rPr>
          <w:rFonts w:ascii="Times New Roman" w:hAnsi="Times New Roman"/>
          <w:caps w:val="false"/>
          <w:smallCaps w:val="false"/>
          <w:sz w:val="20"/>
        </w:rPr>
        <w:t> </w:t>
        <w:br/>
      </w:r>
      <w:r>
        <w:rPr>
          <w:rFonts w:ascii="Times New Roman" w:hAnsi="Times New Roman"/>
          <w:b/>
          <w:caps w:val="false"/>
          <w:smallCaps w:val="false"/>
          <w:sz w:val="20"/>
        </w:rPr>
        <w:t>AND RIGHTS OF</w:t>
      </w:r>
      <w:r>
        <w:rPr>
          <w:rFonts w:ascii="Times New Roman" w:hAnsi="Times New Roman"/>
          <w:caps w:val="false"/>
          <w:smallCaps w:val="false"/>
          <w:sz w:val="20"/>
        </w:rPr>
        <w:t> </w:t>
        <w:br/>
      </w:r>
      <w:r>
        <w:rPr>
          <w:rFonts w:ascii="Times New Roman" w:hAnsi="Times New Roman"/>
          <w:b/>
          <w:caps w:val="false"/>
          <w:smallCaps w:val="false"/>
          <w:sz w:val="20"/>
        </w:rPr>
        <w:t>SERIES AAA CONVERTIBLE NON-REDEEMABLE PREFERRED STOCK</w:t>
      </w:r>
      <w:r>
        <w:rPr>
          <w:rFonts w:ascii="Times New Roman" w:hAnsi="Times New Roman"/>
          <w:caps w:val="false"/>
          <w:smallCaps w:val="false"/>
          <w:sz w:val="20"/>
        </w:rPr>
        <w:t> </w:t>
        <w:br/>
      </w:r>
      <w:r>
        <w:rPr>
          <w:rFonts w:ascii="Times New Roman" w:hAnsi="Times New Roman"/>
          <w:b/>
          <w:caps w:val="false"/>
          <w:smallCaps w:val="false"/>
          <w:sz w:val="20"/>
        </w:rPr>
        <w:t>OF</w:t>
      </w:r>
      <w:r>
        <w:rPr>
          <w:rFonts w:ascii="Times New Roman" w:hAnsi="Times New Roman"/>
          <w:caps w:val="false"/>
          <w:smallCaps w:val="false"/>
          <w:sz w:val="20"/>
        </w:rPr>
        <w:t> </w:t>
        <w:br/>
      </w:r>
      <w:r>
        <w:rPr>
          <w:rFonts w:ascii="Times New Roman" w:hAnsi="Times New Roman"/>
          <w:b/>
          <w:caps w:val="false"/>
          <w:smallCaps w:val="false"/>
          <w:sz w:val="20"/>
        </w:rPr>
        <w:t>ATERIAN,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151 of the</w:t>
      </w:r>
      <w:r>
        <w:rPr>
          <w:rFonts w:ascii="Times New Roman" w:hAnsi="Times New Roman"/>
          <w:caps w:val="false"/>
          <w:smallCaps w:val="false"/>
          <w:sz w:val="20"/>
        </w:rPr>
        <w:t> </w:t>
        <w:br/>
      </w:r>
      <w:r>
        <w:rPr>
          <w:rFonts w:ascii="Times New Roman" w:hAnsi="Times New Roman"/>
          <w:b/>
          <w:caps w:val="false"/>
          <w:smallCaps w:val="false"/>
          <w:sz w:val="20"/>
        </w:rPr>
        <w:t>Delaware General Corporation Law</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ATERIAN, INC.</w:t>
      </w:r>
      <w:r>
        <w:rPr>
          <w:rFonts w:ascii="Times New Roman" w:hAnsi="Times New Roman"/>
          <w:caps w:val="false"/>
          <w:smallCaps w:val="false"/>
          <w:sz w:val="20"/>
        </w:rPr>
        <w:t>, a Delaware corporation (the “</w:t>
      </w:r>
      <w:r>
        <w:rPr>
          <w:rFonts w:ascii="Times New Roman" w:hAnsi="Times New Roman"/>
          <w:caps w:val="false"/>
          <w:smallCaps w:val="false"/>
          <w:sz w:val="20"/>
          <w:u w:val="single"/>
        </w:rPr>
        <w:t>Corporation</w:t>
      </w:r>
      <w:r>
        <w:rPr>
          <w:rFonts w:ascii="Times New Roman" w:hAnsi="Times New Roman"/>
          <w:caps w:val="false"/>
          <w:smallCaps w:val="false"/>
          <w:sz w:val="20"/>
        </w:rPr>
        <w:t>”), in accordance with the provisions of Section 103 of the General Corporation Law of the State of Delaware (the “</w:t>
      </w:r>
      <w:r>
        <w:rPr>
          <w:rFonts w:ascii="Times New Roman" w:hAnsi="Times New Roman"/>
          <w:caps w:val="false"/>
          <w:smallCaps w:val="false"/>
          <w:sz w:val="20"/>
          <w:u w:val="single"/>
        </w:rPr>
        <w:t>DGCL</w:t>
      </w:r>
      <w:r>
        <w:rPr>
          <w:rFonts w:ascii="Times New Roman" w:hAnsi="Times New Roman"/>
          <w:caps w:val="false"/>
          <w:smallCaps w:val="false"/>
          <w:sz w:val="20"/>
        </w:rPr>
        <w:t>”) does hereby certify that, in accordance with Section 151 of the DGCL, the following resolution was duly adopted by the Board of Directors of the Corporation (the “</w:t>
      </w:r>
      <w:r>
        <w:rPr>
          <w:rFonts w:ascii="Times New Roman" w:hAnsi="Times New Roman"/>
          <w:caps w:val="false"/>
          <w:smallCaps w:val="false"/>
          <w:sz w:val="20"/>
          <w:u w:val="single"/>
        </w:rPr>
        <w:t>Board of Directors</w:t>
      </w:r>
      <w:r>
        <w:rPr>
          <w:rFonts w:ascii="Times New Roman" w:hAnsi="Times New Roman"/>
          <w:caps w:val="false"/>
          <w:smallCaps w:val="false"/>
          <w:sz w:val="20"/>
        </w:rPr>
        <w:t>”) on April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RESOLVED, pursuant to authority expressly set forth in the Amended and Restated Certificate of Incorporation of the Corporation, as amended (the “</w:t>
      </w:r>
      <w:r>
        <w:rPr>
          <w:rFonts w:ascii="Times New Roman" w:hAnsi="Times New Roman"/>
          <w:caps w:val="false"/>
          <w:smallCaps w:val="false"/>
          <w:sz w:val="20"/>
          <w:u w:val="single"/>
        </w:rPr>
        <w:t>Certificate of Incorporation</w:t>
      </w:r>
      <w:r>
        <w:rPr>
          <w:rFonts w:ascii="Times New Roman" w:hAnsi="Times New Roman"/>
          <w:caps w:val="false"/>
          <w:smallCaps w:val="false"/>
          <w:sz w:val="20"/>
        </w:rPr>
        <w:t>”), the issuance of a series of Preferred Stock, par value $0.0001 per share (the “</w:t>
      </w:r>
      <w:r>
        <w:rPr>
          <w:rFonts w:ascii="Times New Roman" w:hAnsi="Times New Roman"/>
          <w:caps w:val="false"/>
          <w:smallCaps w:val="false"/>
          <w:sz w:val="20"/>
          <w:u w:val="single"/>
        </w:rPr>
        <w:t>Preferred Stock</w:t>
      </w:r>
      <w:r>
        <w:rPr>
          <w:rFonts w:ascii="Times New Roman" w:hAnsi="Times New Roman"/>
          <w:caps w:val="false"/>
          <w:smallCaps w:val="false"/>
          <w:sz w:val="20"/>
        </w:rPr>
        <w:t>”) designated as the Series AAA Convertible Non-Redeemable Preferred Stock, par value $0.0001 per share, of the Corporation is hereby authorized and the number of shares, powers, designations, preferences and relative, participating, optional or other special rights of, and the qualifications, limitations or restrictions upon, the Series AAA Convertible Non-Redeemable Preferred Stock (in addition to any provisions set forth in the Certificate of Incorporation that are applicable to the Preferred Stock of all classes and series) are hereby fixed, and the Certificate of Designation of Preferences and Rights of Series AAA Convertible Non</w:t>
        <w:noBreakHyphen/>
        <w:t>Redeemable Preferred Stock (“</w:t>
      </w:r>
      <w:r>
        <w:rPr>
          <w:rFonts w:ascii="Times New Roman" w:hAnsi="Times New Roman"/>
          <w:caps w:val="false"/>
          <w:smallCaps w:val="false"/>
          <w:sz w:val="20"/>
          <w:u w:val="single"/>
        </w:rPr>
        <w:t>Certificate of Designation</w:t>
      </w:r>
      <w:r>
        <w:rPr>
          <w:rFonts w:ascii="Times New Roman" w:hAnsi="Times New Roman"/>
          <w:caps w:val="false"/>
          <w:smallCaps w:val="false"/>
          <w:sz w:val="20"/>
        </w:rPr>
        <w:t>”) is hereby approved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SECTION 1    </w:t>
      </w:r>
      <w:r>
        <w:rPr>
          <w:rFonts w:ascii="Times New Roman" w:hAnsi="Times New Roman"/>
          <w:caps w:val="false"/>
          <w:smallCaps w:val="false"/>
          <w:sz w:val="20"/>
          <w:u w:val="single"/>
        </w:rPr>
        <w:t>Designation of Amount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1,750,000 shares of Preferred Stock shall be, and hereby are, designated the “Series AAA Convertible Non</w:t>
        <w:noBreakHyphen/>
        <w:t>Redeemable Preferred Stock” (the “</w:t>
      </w:r>
      <w:r>
        <w:rPr>
          <w:rFonts w:ascii="Times New Roman" w:hAnsi="Times New Roman"/>
          <w:caps w:val="false"/>
          <w:smallCaps w:val="false"/>
          <w:sz w:val="20"/>
          <w:u w:val="single"/>
        </w:rPr>
        <w:t>Series AAA Preferred Stock</w:t>
      </w:r>
      <w:r>
        <w:rPr>
          <w:rFonts w:ascii="Times New Roman" w:hAnsi="Times New Roman"/>
          <w:caps w:val="false"/>
          <w:smallCaps w:val="false"/>
          <w:sz w:val="20"/>
        </w:rPr>
        <w:t>”), par value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     Subject to the requirements of the DGCL, the Certificate of Incorporation and this Certificate of Designation, the number of shares of Preferred Stock that are designated as Series AAA Preferred Stock may be increased or decreased by written resolution duly adopted by the Board of Directors, or a duly authorized committee thereof, and the filing of an amendment to this Certificate of Designation pursuant to the provisions of the DGCL stating that such increase or decrease, as applicable, has been so authorized; </w:t>
      </w:r>
      <w:r>
        <w:rPr>
          <w:rFonts w:ascii="Times New Roman" w:hAnsi="Times New Roman"/>
          <w:caps w:val="false"/>
          <w:smallCaps w:val="false"/>
          <w:sz w:val="20"/>
          <w:u w:val="single"/>
        </w:rPr>
        <w:t>provided</w:t>
      </w:r>
      <w:r>
        <w:rPr>
          <w:rFonts w:ascii="Times New Roman" w:hAnsi="Times New Roman"/>
          <w:caps w:val="false"/>
          <w:smallCaps w:val="false"/>
          <w:sz w:val="20"/>
        </w:rPr>
        <w:t>, that no decrease shall reduce the number of shares of Series AAA Preferred Stock to a number less than the number of such shares then outstanding. Any shares of Series AAA Preferred Stock converted, redeemed, purchased or otherwise acquired by the Corporation in any manner whatsoever shall, automatically and without further action, be retired and canceled promptly after the acquisition thereof, and shall become authorized but unissued shares of Preferred Stock and may not be reissued as shares of Series AAA Preferred Stock when the Corporation shall take such action as may be necessary to reduce the number of authorized shares of the Series AAA Preferred Stock and may be reissued as part of a new series of any class or series of Preferred Stock in accordance with the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SECTION 2    </w:t>
      </w:r>
      <w:r>
        <w:rPr>
          <w:rFonts w:ascii="Times New Roman" w:hAnsi="Times New Roman"/>
          <w:caps w:val="false"/>
          <w:smallCaps w:val="false"/>
          <w:sz w:val="20"/>
          <w:u w:val="single"/>
        </w:rPr>
        <w:t>Certain Definitions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Unless the context otherwise requires, the terms defined in this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shall have, for all purposes of this resolution, the meanings specified (with terms defined in the singular having comparable meanings when used in the plural). In addition, capitalized terms used and not otherwise defined herein shall have the meanings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Board of Directors</w:t>
      </w:r>
      <w:r>
        <w:rPr>
          <w:rFonts w:ascii="Times New Roman" w:hAnsi="Times New Roman"/>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Business Day</w:t>
      </w:r>
      <w:r>
        <w:rPr>
          <w:rFonts w:ascii="Times New Roman" w:hAnsi="Times New Roman"/>
          <w:caps w:val="false"/>
          <w:smallCaps w:val="false"/>
          <w:sz w:val="20"/>
        </w:rPr>
        <w:t>” shall mean any day other than Saturday, Sunday or other day on which commercial banks in the City of New York are authorized or required by law to remain closed.</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Bylaws</w:t>
      </w:r>
      <w:r>
        <w:rPr>
          <w:rFonts w:ascii="Times New Roman" w:hAnsi="Times New Roman"/>
          <w:caps w:val="false"/>
          <w:smallCaps w:val="false"/>
          <w:sz w:val="20"/>
        </w:rPr>
        <w:t>” shall mean the Third Amended and Restated Bylaws of the Corporation, as amended from time to time in accordance with their terms and the terms of the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Certificate of Incorporation</w:t>
      </w:r>
      <w:r>
        <w:rPr>
          <w:rFonts w:ascii="Times New Roman" w:hAnsi="Times New Roman"/>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Common Stock</w:t>
      </w:r>
      <w:r>
        <w:rPr>
          <w:rFonts w:ascii="Times New Roman" w:hAnsi="Times New Roman"/>
          <w:caps w:val="false"/>
          <w:smallCaps w:val="false"/>
          <w:sz w:val="20"/>
        </w:rPr>
        <w:t>” shall mean the common stock, par value $0.0001 per share,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Conversion Notice</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6(d)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Conversion Price</w:t>
      </w:r>
      <w:r>
        <w:rPr>
          <w:rFonts w:ascii="Times New Roman" w:hAnsi="Times New Roman"/>
          <w:caps w:val="false"/>
          <w:smallCaps w:val="false"/>
          <w:sz w:val="20"/>
        </w:rPr>
        <w:t xml:space="preserve">” shall mean $0.0148, or such higher minimum price as may be required from time to time by the Nasdaq Stock Market, in each case, subject to adjustment from time to time in accordance with </w:t>
      </w:r>
      <w:r>
        <w:rPr>
          <w:rFonts w:ascii="Times New Roman" w:hAnsi="Times New Roman"/>
          <w:caps w:val="false"/>
          <w:smallCaps w:val="false"/>
          <w:sz w:val="20"/>
          <w:u w:val="single"/>
        </w:rPr>
        <w:t>Section 6(d)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Conversion Time</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6(d)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Corporation</w:t>
      </w:r>
      <w:r>
        <w:rPr>
          <w:rFonts w:ascii="Times New Roman" w:hAnsi="Times New Roman"/>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DGCL</w:t>
      </w:r>
      <w:r>
        <w:rPr>
          <w:rFonts w:ascii="Times New Roman" w:hAnsi="Times New Roman"/>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Dividend</w:t>
      </w:r>
      <w:r>
        <w:rPr>
          <w:rFonts w:ascii="Times New Roman" w:hAnsi="Times New Roman"/>
          <w:caps w:val="false"/>
          <w:smallCaps w:val="false"/>
          <w:sz w:val="20"/>
        </w:rPr>
        <w:t>” shall have the meaning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Holder</w:t>
      </w:r>
      <w:r>
        <w:rPr>
          <w:rFonts w:ascii="Times New Roman" w:hAnsi="Times New Roman"/>
          <w:caps w:val="false"/>
          <w:smallCaps w:val="false"/>
          <w:sz w:val="20"/>
        </w:rPr>
        <w:t>” means any holder of Series AAA Preferred Stock, all of such holders being the “</w:t>
      </w:r>
      <w:r>
        <w:rPr>
          <w:rFonts w:ascii="Times New Roman" w:hAnsi="Times New Roman"/>
          <w:caps w:val="false"/>
          <w:smallCaps w:val="false"/>
          <w:sz w:val="20"/>
          <w:u w:val="single"/>
        </w:rPr>
        <w:t>Holders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Junior Securities</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5(a)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Legacy Dividend</w:t>
      </w:r>
      <w:r>
        <w:rPr>
          <w:rFonts w:ascii="Times New Roman" w:hAnsi="Times New Roman"/>
          <w:caps w:val="false"/>
          <w:smallCaps w:val="false"/>
          <w:sz w:val="20"/>
        </w:rPr>
        <w:t>” shall have the meaning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Parity Securities</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5(a)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Person</w:t>
      </w:r>
      <w:r>
        <w:rPr>
          <w:rFonts w:ascii="Times New Roman" w:hAnsi="Times New Roman"/>
          <w:caps w:val="false"/>
          <w:smallCaps w:val="false"/>
          <w:sz w:val="20"/>
        </w:rPr>
        <w:t>” shall mean any individual, partnership, company, limited liability company, joint venture, association, joint</w:t>
        <w:noBreakHyphen/>
        <w:t>stock company, trust, unincorporated organization, government or agency or political subdivision thereof, or 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Preferred Stock</w:t>
      </w:r>
      <w:r>
        <w:rPr>
          <w:rFonts w:ascii="Times New Roman" w:hAnsi="Times New Roman"/>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Purchase Agreement</w:t>
      </w:r>
      <w:r>
        <w:rPr>
          <w:rFonts w:ascii="Times New Roman" w:hAnsi="Times New Roman"/>
          <w:caps w:val="false"/>
          <w:smallCaps w:val="false"/>
          <w:sz w:val="20"/>
        </w:rPr>
        <w:t>” shall mean that certain Securities Purchase Agreement, dated April 27, 2026, by and between the Corporation and the Purchaser defined therein (as may be amended or restated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Requisite Holders</w:t>
      </w:r>
      <w:r>
        <w:rPr>
          <w:rFonts w:ascii="Times New Roman" w:hAnsi="Times New Roman"/>
          <w:caps w:val="false"/>
          <w:smallCaps w:val="false"/>
          <w:sz w:val="20"/>
        </w:rPr>
        <w:t>” shall mean the holders of a majority of the then outstanding shares of Series AAA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shall mean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Series AAA Preferred Stock</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1(a)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Stated Value</w:t>
      </w:r>
      <w:r>
        <w:rPr>
          <w:rFonts w:ascii="Times New Roman" w:hAnsi="Times New Roman"/>
          <w:caps w:val="false"/>
          <w:smallCaps w:val="false"/>
          <w:sz w:val="20"/>
        </w:rPr>
        <w:t>” shall mean the per share stated value for a share of Series AAA Preferred Stock of $2.00, subject to adjustment in the event of any stock dividend, stock split, combination, reorganization, recapitalization, reclassification, or other similar event with respect to the Series AAA Preferred Stock.</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SECTION 3    </w:t>
      </w:r>
      <w:r>
        <w:rPr>
          <w:rFonts w:ascii="Times New Roman" w:hAnsi="Times New Roman"/>
          <w:caps w:val="false"/>
          <w:smallCaps w:val="false"/>
          <w:sz w:val="20"/>
          <w:u w:val="single"/>
        </w:rPr>
        <w:t>Voting Rights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Non-Voting Stock</w:t>
      </w:r>
      <w:r>
        <w:rPr>
          <w:rFonts w:ascii="Times New Roman" w:hAnsi="Times New Roman"/>
          <w:caps w:val="false"/>
          <w:smallCaps w:val="false"/>
          <w:sz w:val="20"/>
        </w:rPr>
        <w:t>. Except as otherwise provided by the DGCL</w:t>
      </w:r>
      <w:r>
        <w:rPr>
          <w:rFonts w:ascii="Times New Roman" w:hAnsi="Times New Roman"/>
          <w:b/>
          <w:i/>
          <w:caps w:val="false"/>
          <w:smallCaps w:val="false"/>
          <w:sz w:val="20"/>
        </w:rPr>
        <w:t xml:space="preserve">, </w:t>
      </w:r>
      <w:r>
        <w:rPr>
          <w:rFonts w:ascii="Times New Roman" w:hAnsi="Times New Roman"/>
          <w:caps w:val="false"/>
          <w:smallCaps w:val="false"/>
          <w:sz w:val="20"/>
        </w:rPr>
        <w:t xml:space="preserve">other applicable law or as provided in this Certificate of Designation, the holders of Series AAA Preferred Stock shall not be entitled to vote (or render written consents) on any matter submitted for a vote of (or written consents in lieu of a vote as permitted by the DGCL, the Certificate of Incorporation and the Bylaws) holders of Common Stock. Following the date on which the Series AAA Preferred Stock are convertible under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hereof, except as otherwise provided herein or as required by applicable law, Holders of the Series AAA Preferred Stock shall be entitled to vote with holders of the Common Stock on all matters that such holders of Common Stock are entitled to vote upon, in the same manner and with the same effect as the holders of Common Stock, voting together with the holders of Common Stock as a single class. Each share of Series AAA Preferred Stock shall entitle the Holder thereof to cast that number of votes per share of Series AAA Preferred Stock on an as converted to Common Stock basis. Notwithstanding the foregoing, to the extent that under the DGCL the vote of the holders of the Series AAA Preferred Stock, voting separately as a class or series, as applicable, is required to authorize a given action of the Corporation, the affirmative vote or consent of the majority of the Holders of the Series AAA Preferred Stock (the “</w:t>
      </w:r>
      <w:r>
        <w:rPr>
          <w:rFonts w:ascii="Times New Roman" w:hAnsi="Times New Roman"/>
          <w:caps w:val="false"/>
          <w:smallCaps w:val="false"/>
          <w:sz w:val="20"/>
          <w:u w:val="single"/>
        </w:rPr>
        <w:t>Required Holders</w:t>
      </w:r>
      <w:r>
        <w:rPr>
          <w:rFonts w:ascii="Times New Roman" w:hAnsi="Times New Roman"/>
          <w:caps w:val="false"/>
          <w:smallCaps w:val="false"/>
          <w:sz w:val="20"/>
        </w:rPr>
        <w:t>”), voting together in the aggregate and not in separate series unless required under the DGCL, represented at a duly held meeting at which a quorum is present or by written consent of the Required Holders (except as otherwise may be required under the DGCL), voting together in the aggregate and not in separate series unless required under the DGCL, shall constitute the approval of such action by both the class or the series, as applicable. For the avoidance of doubt, for purposes of determining the presence of a quorum at any meeting of the stockholders of the Corporation at which the shares of Series AAA Preferred Stock are entitled to vote, the number of shares of Series AAA Preferred Stock and votes represented by such shares shall be counted on an as converted to Common Stock basis. Holders of the Series AAA Preferred Stock shall be entitled to written notice of all stockholder meetings or written consents (and copies of proxy materials and other information sent to stockholders) with respect to which they would be entitled to vote, which notice would be provided pursuant to the Bylaws and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Limited Voting Rights</w:t>
      </w:r>
      <w:r>
        <w:rPr>
          <w:rFonts w:ascii="Times New Roman" w:hAnsi="Times New Roman"/>
          <w:caps w:val="false"/>
          <w:smallCaps w:val="false"/>
          <w:sz w:val="20"/>
        </w:rPr>
        <w:t>. So long as any shares of Series AAA Preferred Stock are outstanding, the Corporation shall not, without first obtaining the approval of the Requisite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88" w:type="dxa"/>
            <w:tcBorders/>
            <w:vAlign w:val="center"/>
          </w:tcPr>
          <w:p>
            <w:pPr>
              <w:pStyle w:val="TableContents"/>
              <w:bidi w:val="0"/>
              <w:spacing w:before="0" w:after="283"/>
              <w:ind w:left="0" w:right="0" w:hanging="0"/>
              <w:jc w:val="both"/>
              <w:rPr>
                <w:rFonts w:ascii="Times New Roman" w:hAnsi="Times New Roman"/>
                <w:caps w:val="false"/>
                <w:smallCaps w:val="false"/>
                <w:sz w:val="20"/>
              </w:rPr>
            </w:pPr>
            <w:r>
              <w:rPr>
                <w:rFonts w:ascii="Times New Roman" w:hAnsi="Times New Roman"/>
                <w:caps w:val="false"/>
                <w:smallCaps w:val="false"/>
                <w:sz w:val="20"/>
              </w:rPr>
              <w:t>alter, repeal or change the powers, preferences or rights of the Series AAA Preferred Stock or alter or amend this Certificate of Designation so as to adversely affect the Series AAA Preferred Stock;</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9788"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88" w:type="dxa"/>
            <w:tcBorders/>
            <w:vAlign w:val="center"/>
          </w:tcPr>
          <w:p>
            <w:pPr>
              <w:pStyle w:val="TableContents"/>
              <w:bidi w:val="0"/>
              <w:spacing w:before="0" w:after="283"/>
              <w:ind w:left="0" w:right="0" w:hanging="0"/>
              <w:jc w:val="both"/>
              <w:rPr>
                <w:rFonts w:ascii="Times New Roman" w:hAnsi="Times New Roman"/>
                <w:caps w:val="false"/>
                <w:smallCaps w:val="false"/>
                <w:sz w:val="20"/>
              </w:rPr>
            </w:pPr>
            <w:r>
              <w:rPr>
                <w:rFonts w:ascii="Times New Roman" w:hAnsi="Times New Roman"/>
                <w:caps w:val="false"/>
                <w:smallCaps w:val="false"/>
                <w:sz w:val="20"/>
              </w:rPr>
              <w:t>supplement, amend, restate, repeal, or waive any provision of the Certificate of Incorporation or Bylaws, or file any certificate of amendment, certificate of designation, preferences, limitations and relative rights of any series of preferred stock, if such action would adversely alter or change the preferences, rights, privileges or powers of, or restrictions provided for the benefit of the Series AAA Preferred Stock, regardless of whether any of the foregoing actions shall be by means of amendment to the Certificate of Incorporation or by merger, consolidation, recapitalization, reclassification, conversion or otherwise;</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9788"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88" w:type="dxa"/>
            <w:tcBorders/>
            <w:vAlign w:val="center"/>
          </w:tcPr>
          <w:p>
            <w:pPr>
              <w:pStyle w:val="TableContents"/>
              <w:bidi w:val="0"/>
              <w:spacing w:before="0" w:after="283"/>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increase or decrease (other than by conversion) the number of authorized shares of Series AAA Preferred Stock; or</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9788"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88" w:type="dxa"/>
            <w:tcBorders/>
            <w:vAlign w:val="center"/>
          </w:tcPr>
          <w:p>
            <w:pPr>
              <w:pStyle w:val="TableContents"/>
              <w:bidi w:val="0"/>
              <w:spacing w:before="0" w:after="283"/>
              <w:ind w:left="0" w:right="0" w:hanging="0"/>
              <w:jc w:val="both"/>
              <w:rPr>
                <w:rFonts w:ascii="Times New Roman" w:hAnsi="Times New Roman"/>
                <w:caps w:val="false"/>
                <w:smallCaps w:val="false"/>
                <w:sz w:val="20"/>
              </w:rPr>
            </w:pPr>
            <w:r>
              <w:rPr>
                <w:rFonts w:ascii="Times New Roman" w:hAnsi="Times New Roman"/>
                <w:caps w:val="false"/>
                <w:smallCaps w:val="false"/>
                <w:sz w:val="20"/>
              </w:rPr>
              <w:t>enter into any agreement with respect to any of the foregoing.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SECTION 4    </w:t>
      </w:r>
      <w:r>
        <w:rPr>
          <w:rFonts w:ascii="Times New Roman" w:hAnsi="Times New Roman"/>
          <w:caps w:val="false"/>
          <w:smallCaps w:val="false"/>
          <w:sz w:val="20"/>
          <w:u w:val="single"/>
        </w:rPr>
        <w:t>Dividends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shares of Series AAA Preferred Stock shall not have or confer, and the holders of the outstanding shares of Series AAA Preferred Stock shall not have, any right or entitlement to receive or otherwise participate in any dividend or distribution declared or paid by the Board of Directors or the Corporation, including any Dividend or Legacy Dividend, and no dividend shall accrue or be payable on any shares of Series AAA Preferred Stock or the Conversion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SECTION 5    </w:t>
      </w:r>
      <w:r>
        <w:rPr>
          <w:rFonts w:ascii="Times New Roman" w:hAnsi="Times New Roman"/>
          <w:caps w:val="false"/>
          <w:smallCaps w:val="false"/>
          <w:sz w:val="20"/>
          <w:u w:val="single"/>
        </w:rPr>
        <w:t>Liquidation Preference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Ranking</w:t>
      </w:r>
      <w:r>
        <w:rPr>
          <w:rFonts w:ascii="Times New Roman" w:hAnsi="Times New Roman"/>
          <w:caps w:val="false"/>
          <w:smallCaps w:val="false"/>
          <w:sz w:val="20"/>
        </w:rPr>
        <w:t>. The Series AAA Preferred Stock shall rank (i) senior to all of the Common Stock; (ii) senior to any class or series of capital stock of the Corporation hereafter created specifically ranking by its terms junior to any Series AAA Preferred Stock (“</w:t>
      </w:r>
      <w:r>
        <w:rPr>
          <w:rFonts w:ascii="Times New Roman" w:hAnsi="Times New Roman"/>
          <w:caps w:val="false"/>
          <w:smallCaps w:val="false"/>
          <w:sz w:val="20"/>
          <w:u w:val="single"/>
        </w:rPr>
        <w:t>Junior Securities</w:t>
      </w:r>
      <w:r>
        <w:rPr>
          <w:rFonts w:ascii="Times New Roman" w:hAnsi="Times New Roman"/>
          <w:caps w:val="false"/>
          <w:smallCaps w:val="false"/>
          <w:sz w:val="20"/>
        </w:rPr>
        <w:t>”); and (iii) on parity with any other class or series of capital stock of the Corporation hereafter created specifically ranking by its terms on parity with the Series AAA Preferred Stock (“</w:t>
      </w:r>
      <w:r>
        <w:rPr>
          <w:rFonts w:ascii="Times New Roman" w:hAnsi="Times New Roman"/>
          <w:caps w:val="false"/>
          <w:smallCaps w:val="false"/>
          <w:sz w:val="20"/>
          <w:u w:val="single"/>
        </w:rPr>
        <w:t>Parity Securities</w:t>
      </w:r>
      <w:r>
        <w:rPr>
          <w:rFonts w:ascii="Times New Roman" w:hAnsi="Times New Roman"/>
          <w:caps w:val="false"/>
          <w:smallCaps w:val="false"/>
          <w:sz w:val="20"/>
        </w:rPr>
        <w:t>”), in each case, as to distributions of assets upon liquidation, dissolution or winding up of the Corporation, whether voluntarily or involuntarily (each, a “</w:t>
      </w:r>
      <w:r>
        <w:rPr>
          <w:rFonts w:ascii="Times New Roman" w:hAnsi="Times New Roman"/>
          <w:caps w:val="false"/>
          <w:smallCaps w:val="false"/>
          <w:sz w:val="20"/>
          <w:u w:val="single"/>
        </w:rPr>
        <w:t>Dissolution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Distribution to Series AAA Preferred Stock and Parity Securities</w:t>
      </w:r>
      <w:r>
        <w:rPr>
          <w:rFonts w:ascii="Times New Roman" w:hAnsi="Times New Roman"/>
          <w:caps w:val="false"/>
          <w:smallCaps w:val="false"/>
          <w:sz w:val="20"/>
        </w:rPr>
        <w:t xml:space="preserve">. Upon a Dissolution, each Holder shall be entitled to receive, prior and in preference to any distributions of any of the assets or surplus funds of the Corporation (other than distributions that would otherwise constitute Dividends or Legacy Dividends) to the holders of the Common Stock and Junior Securities and </w:t>
      </w:r>
      <w:r>
        <w:rPr>
          <w:rFonts w:ascii="Times New Roman" w:hAnsi="Times New Roman"/>
          <w:i/>
          <w:caps w:val="false"/>
          <w:smallCaps w:val="false"/>
          <w:sz w:val="20"/>
        </w:rPr>
        <w:t xml:space="preserve">pari passu </w:t>
      </w:r>
      <w:r>
        <w:rPr>
          <w:rFonts w:ascii="Times New Roman" w:hAnsi="Times New Roman"/>
          <w:caps w:val="false"/>
          <w:smallCaps w:val="false"/>
          <w:sz w:val="20"/>
        </w:rPr>
        <w:t xml:space="preserve">with any distribution to the holders of Parity Securities, an amount per share of Series AAA Preferred Stock held by such Holder equal to the greater of (i) the Stated Value, or (ii) such amount per share as would have been payable had all shares of Series AAA Preferred Stock been converted into Common Stock pursuant to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(without regard to any restrictions on conversion) immediately prior to such Dissolution. If, upon any such Dissolution, the assets of the Corporation shall be insufficient to pay the holders of shares of the Series AAA Preferred Stock the amount required under the preceding sentence, the holders of Series AAA Preferred Stock and the holders of shares of Parity Securities shall share in any distribution of the assets available for distribution in proportion to the respective amounts which would otherwise be payable in respect of the shares of Series AAA Preferred Stock and Parity Securities held by them upon such distribution if all amounts payable on or with respect to such shares of Series AAA Preferred Stock and Parity Securities were paid in full. For the avoidance of any doubt, but without limiting the foregoing, neither a change in control of the Corporation, the merger or consolidation of the Corporation with or into any other entity, nor the sale, lease, exchange or other disposition of all or substantially all of the Corporation’s assets shall, in and of itself, be deemed to constitute a Dissolution.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SECTION 6    </w:t>
      </w:r>
      <w:r>
        <w:rPr>
          <w:rFonts w:ascii="Times New Roman" w:hAnsi="Times New Roman"/>
          <w:caps w:val="false"/>
          <w:smallCaps w:val="false"/>
          <w:sz w:val="20"/>
          <w:u w:val="single"/>
        </w:rPr>
        <w:t>Conversion Rights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General</w:t>
      </w:r>
      <w:r>
        <w:rPr>
          <w:rFonts w:ascii="Times New Roman" w:hAnsi="Times New Roman"/>
          <w:caps w:val="false"/>
          <w:smallCaps w:val="false"/>
          <w:sz w:val="20"/>
        </w:rPr>
        <w:t xml:space="preserve">. Subject to and upon compliance with the provisions of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and subject to the Corporation’s stockholders approving each of (A) an increase in the number of authorized shares of Common Stock to enable the Corporation to issue all of the shares of Common Stock that are issuable upon the conversion of the Series AAA Preferred Stock and any Series AA Preferred Stock, par value $0.0001 per share (the “</w:t>
      </w:r>
      <w:r>
        <w:rPr>
          <w:rFonts w:ascii="Times New Roman" w:hAnsi="Times New Roman"/>
          <w:caps w:val="false"/>
          <w:smallCaps w:val="false"/>
          <w:sz w:val="20"/>
          <w:u w:val="single"/>
        </w:rPr>
        <w:t>Series AA Preferred Stock</w:t>
      </w:r>
      <w:r>
        <w:rPr>
          <w:rFonts w:ascii="Times New Roman" w:hAnsi="Times New Roman"/>
          <w:caps w:val="false"/>
          <w:smallCaps w:val="false"/>
          <w:sz w:val="20"/>
        </w:rPr>
        <w:t>”), that is issued and outstanding and (B) the conversion of the Series AAA Preferred Stock and any Series AA Preferred Stock that is issued and outstanding into shares of Common Stock in accordance with the listing rules of the Nasdaq Stock Market (the “</w:t>
      </w:r>
      <w:r>
        <w:rPr>
          <w:rFonts w:ascii="Times New Roman" w:hAnsi="Times New Roman"/>
          <w:caps w:val="false"/>
          <w:smallCaps w:val="false"/>
          <w:sz w:val="20"/>
          <w:u w:val="single"/>
        </w:rPr>
        <w:t>Stockholder Approvals</w:t>
      </w:r>
      <w:r>
        <w:rPr>
          <w:rFonts w:ascii="Times New Roman" w:hAnsi="Times New Roman"/>
          <w:caps w:val="false"/>
          <w:smallCaps w:val="false"/>
          <w:sz w:val="20"/>
        </w:rPr>
        <w:t>”), and subject to the Corporation filing an amendment to the Certificate of Incorporation with the Secretary of State of the State of Delaware (the “</w:t>
      </w:r>
      <w:r>
        <w:rPr>
          <w:rFonts w:ascii="Times New Roman" w:hAnsi="Times New Roman"/>
          <w:caps w:val="false"/>
          <w:smallCaps w:val="false"/>
          <w:sz w:val="20"/>
          <w:u w:val="single"/>
        </w:rPr>
        <w:t>Charter Amendment</w:t>
      </w:r>
      <w:r>
        <w:rPr>
          <w:rFonts w:ascii="Times New Roman" w:hAnsi="Times New Roman"/>
          <w:caps w:val="false"/>
          <w:smallCaps w:val="false"/>
          <w:sz w:val="20"/>
        </w:rPr>
        <w:t xml:space="preserve">”) with respect to the foregoing matters, each Holder shall be entitled, at its option, at any time and from time to time after the Stockholder Approvals and the filing of the Charter Amendment, to convert all or any such shares of Series AAA Preferred Stock into the number of fully paid and nonassessable shares of Common Stock equal to the number obtained by dividing (i) the Stated Value of such Series AAA Preferred Stock by (ii) the Conversion Price in effect at the Conversion Time (determined as provided in this </w:t>
      </w:r>
      <w:r>
        <w:rPr>
          <w:rFonts w:ascii="Times New Roman" w:hAnsi="Times New Roman"/>
          <w:caps w:val="false"/>
          <w:smallCaps w:val="false"/>
          <w:sz w:val="20"/>
          <w:u w:val="single"/>
        </w:rPr>
        <w:t>Section 6</w:t>
      </w:r>
      <w:r>
        <w:rPr>
          <w:rFonts w:ascii="Times New Roman" w:hAnsi="Times New Roman"/>
          <w:caps w:val="false"/>
          <w:smallCaps w:val="false"/>
          <w:sz w:val="20"/>
        </w:rPr>
        <w:t>) (any such shares, “</w:t>
      </w:r>
      <w:r>
        <w:rPr>
          <w:rFonts w:ascii="Times New Roman" w:hAnsi="Times New Roman"/>
          <w:caps w:val="false"/>
          <w:smallCaps w:val="false"/>
          <w:sz w:val="20"/>
          <w:u w:val="single"/>
        </w:rPr>
        <w:t>Conversion Shares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Fractions of Shares</w:t>
      </w:r>
      <w:r>
        <w:rPr>
          <w:rFonts w:ascii="Times New Roman" w:hAnsi="Times New Roman"/>
          <w:caps w:val="false"/>
          <w:smallCaps w:val="false"/>
          <w:sz w:val="20"/>
        </w:rPr>
        <w:t>. Fractional shares of Common Stock may not be issued in connection with any conversion of the Series AAA Preferred Stock. As to any fraction of a share which a Holder would otherwise be entitled to receive upon such conversion, the Corporation shall pay a cash adjustment in respect of such final fraction in an amount equal to such fraction multiplied by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Adjustments to Conversion Price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Upon Subdivisions</w:t>
      </w:r>
      <w:r>
        <w:rPr>
          <w:rFonts w:ascii="Times New Roman" w:hAnsi="Times New Roman"/>
          <w:caps w:val="false"/>
          <w:smallCaps w:val="false"/>
          <w:sz w:val="20"/>
        </w:rPr>
        <w:t>. If, at any time after the date the first share of Series AAA Preferred Stock was issued, the number of shares of Common Stock outstanding is increased by a subdivision of shares of Common Stock, then, following the record date for the determination of holders of Common Stock affected by such subdivision, the Conversion Price in effect immediately before such subdivision shall be proportionately decreased so that the number of shares of Common Stock issuable on conversion of Series AAA Preferred Stock shall be increased in proportion to such increase in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Upon Combinations</w:t>
      </w:r>
      <w:r>
        <w:rPr>
          <w:rFonts w:ascii="Times New Roman" w:hAnsi="Times New Roman"/>
          <w:caps w:val="false"/>
          <w:smallCaps w:val="false"/>
          <w:sz w:val="20"/>
        </w:rPr>
        <w:t>. If, at any time after the date the first share of Series AAA Preferred Stock was issued, the number of shares of Common Stock outstanding is decreased by a combination of the outstanding shares of Common Stock into a smaller number of shares of Common Stock, then, following the record date to determine shares affected by such combination, the Conversion Price in effect immediately before such combination shall be proportionately increased so that the number of shares of Common Stock issuable on conversion of each share of Series AAA Preferred Stock shall be decreased in proportion to such decrease in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Stock Dividends</w:t>
      </w:r>
      <w:r>
        <w:rPr>
          <w:rFonts w:ascii="Times New Roman" w:hAnsi="Times New Roman"/>
          <w:caps w:val="false"/>
          <w:smallCaps w:val="false"/>
          <w:sz w:val="20"/>
        </w:rPr>
        <w:t xml:space="preserve">. If, at any time after the date the first share of Series AAA Preferred Stock was issued, the Corporation shall make or issue, or fix a record date for the determination of holders of Common Stock entitled to receive, a dividend or other distribution payable on the Common Stock in additional shares of Common Stock (which, for avoidance of doubt, shall not include any shares of Common Stock issued by the Corporation upon conversion of, any shares of Series AA Preferred Stock or Series AAA Preferred Stock), then and in each such event the Conversion Price in effect immediately before such event shall be decreased as of the time of such issuance or, in the event such a record date shall have been fixed, as of the close of business on such record date, by multiplying the Conversion Price then in effect by a fraction: (1) the numerator of which shall be the total number of shares of Common Stock outstanding immediately prior to the time of such issuance or the close of business on such record date, and (2) the denominator of which shall be the total number of shares of Common Stock outstanding immediately prior to the time of such issuance or the close of business on such record date plus the number of shares of Common Stock issuable in payment of such dividend or distribution. Notwithstanding the foregoing, (a) if such record date shall have been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w:t>
      </w:r>
      <w:r>
        <w:rPr>
          <w:rFonts w:ascii="Times New Roman" w:hAnsi="Times New Roman"/>
          <w:caps w:val="false"/>
          <w:smallCaps w:val="false"/>
          <w:sz w:val="20"/>
          <w:u w:val="single"/>
        </w:rPr>
        <w:t>Section 6(c)(iii)</w:t>
      </w:r>
      <w:r>
        <w:rPr>
          <w:rFonts w:ascii="Times New Roman" w:hAnsi="Times New Roman"/>
          <w:caps w:val="false"/>
          <w:smallCaps w:val="false"/>
          <w:sz w:val="20"/>
        </w:rPr>
        <w:t xml:space="preserve"> as of the time of actual payment of such dividends or distributions; and (b) no such adjustment shall be made if the holders of Series AAA Preferred Stock simultaneously receive a dividend or other distribution of shares of Common Stock in a number equal to the number of shares of Common Stock as they would have received if all outstanding shares of Series AAA Preferred Stock had been converted into Common Stock on the date of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Reorganization, Reclassification, Merger or Consolidation</w:t>
      </w:r>
      <w:r>
        <w:rPr>
          <w:rFonts w:ascii="Times New Roman" w:hAnsi="Times New Roman"/>
          <w:caps w:val="false"/>
          <w:smallCaps w:val="false"/>
          <w:sz w:val="20"/>
        </w:rPr>
        <w:t xml:space="preserve">. If at any time or from time to time there shall be a reorganization, recapitalization, reclassification, merger or consolidation involving the Corporation in which the Common Stock is converted into or exchanged for securities, cash or property (other than a subdivision or combination provided for elsewhere in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then, as a part of such reorganization, recapitalization, reclassification, merger, or consolidation, provision shall be made so that holders of Series AAA Preferred Stock shall thereafter be entitled to receive upon conversion of the Series AAA Preferred Stock, the kind and amount of shares of stock, cash or other property to which such holder would have been entitled if such holder had converted its shares of Series AAA Preferred Stock immediately prior to such reorganization, recapitalization, reclassification, merger or consolidation. In any such case, appropriate adjustment shall be made in the application of the provisions of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with respect to the rights of the holders of the Series AAA Preferred Stock after the reorganization, recapitalization, reclassification, merger or consolidation, to the end that the provisions of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(including provisions with respect to changes in and other adjustments of the Conversion Price then in effect for the Series AAA Preferred Stock) shall be applicable after that event in as nearly equivalent a manner as may be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Exercise of Conversion Privilege</w:t>
      </w:r>
      <w:r>
        <w:rPr>
          <w:rFonts w:ascii="Times New Roman" w:hAnsi="Times New Roman"/>
          <w:caps w:val="false"/>
          <w:smallCaps w:val="false"/>
          <w:sz w:val="20"/>
        </w:rPr>
        <w:t xml:space="preserve">. In order to effect the conversion set forth in </w:t>
      </w:r>
      <w:r>
        <w:rPr>
          <w:rFonts w:ascii="Times New Roman" w:hAnsi="Times New Roman"/>
          <w:caps w:val="false"/>
          <w:smallCaps w:val="false"/>
          <w:sz w:val="20"/>
          <w:u w:val="single"/>
        </w:rPr>
        <w:t>Section 6(a)</w:t>
      </w:r>
      <w:r>
        <w:rPr>
          <w:rFonts w:ascii="Times New Roman" w:hAnsi="Times New Roman"/>
          <w:caps w:val="false"/>
          <w:smallCaps w:val="false"/>
          <w:sz w:val="20"/>
        </w:rPr>
        <w:t xml:space="preserve">, the holder of the applicable share(s) of Series AAA Preferred Stock shall, (i) provide written notice in the form attached hereto as </w:t>
      </w:r>
      <w:r>
        <w:rPr>
          <w:rFonts w:ascii="Times New Roman" w:hAnsi="Times New Roman"/>
          <w:caps w:val="false"/>
          <w:smallCaps w:val="false"/>
          <w:sz w:val="20"/>
          <w:u w:val="single"/>
        </w:rPr>
        <w:t>Annex A</w:t>
      </w:r>
      <w:r>
        <w:rPr>
          <w:rFonts w:ascii="Times New Roman" w:hAnsi="Times New Roman"/>
          <w:caps w:val="false"/>
          <w:smallCaps w:val="false"/>
          <w:sz w:val="20"/>
        </w:rPr>
        <w:t xml:space="preserve"> (a “</w:t>
      </w:r>
      <w:r>
        <w:rPr>
          <w:rFonts w:ascii="Times New Roman" w:hAnsi="Times New Roman"/>
          <w:caps w:val="false"/>
          <w:smallCaps w:val="false"/>
          <w:sz w:val="20"/>
          <w:u w:val="single"/>
        </w:rPr>
        <w:t>Conversion Notice</w:t>
      </w:r>
      <w:r>
        <w:rPr>
          <w:rFonts w:ascii="Times New Roman" w:hAnsi="Times New Roman"/>
          <w:caps w:val="false"/>
          <w:smallCaps w:val="false"/>
          <w:sz w:val="20"/>
        </w:rPr>
        <w:t>”) to the Corporation, that the Holder elects to convert all such shares of Series AAA Preferred Stock or, if less than the entire amount thereof is to be converted, the portion thereof to be converted and (ii) if such Holder’s shares are certificated, surrender the certificate evidencing such shares of Series AAA Preferred Stock, duly endorsed or assigned to the Corporation in blank. The Conversion Notice shall state such Holder’s name or the names of the nominees in which such Holder wishes the shares of Common Stock to be issued and the date on which such conversion is to be effected, which date may not be prior to the date the applicable Holder delivers such Conversion Notice to the Corporation (such date, the “</w:t>
      </w:r>
      <w:r>
        <w:rPr>
          <w:rFonts w:ascii="Times New Roman" w:hAnsi="Times New Roman"/>
          <w:caps w:val="false"/>
          <w:smallCaps w:val="false"/>
          <w:sz w:val="20"/>
          <w:u w:val="single"/>
        </w:rPr>
        <w:t>Conversion Time</w:t>
      </w:r>
      <w:r>
        <w:rPr>
          <w:rFonts w:ascii="Times New Roman" w:hAnsi="Times New Roman"/>
          <w:caps w:val="false"/>
          <w:smallCaps w:val="false"/>
          <w:sz w:val="20"/>
        </w:rPr>
        <w:t>”). If no Conversion Time is specified in a Conversion Notice, the Conversion Time shall be as of immediately prior to the close of business on the Business Day that such Conversion Notice is delivered to the Corporation, or if such day is not a Business Day or if the Conversion Notice is delivered after regular business hours, the next Business Day. The shares of Common Stock issuable upon conversion of the specified shares shall be deemed to be outstanding of record as of such Conversion Time. As promptly as practicable on or after the Conversion Time, the Corporation shall issue and shall deliver a certificate or certificates for the number of full shares of Common Stock issuable upon conversion (or a notice of such issuance if uncertificated shares are issued). In the case of any certificate evidencing shares of Series AAA Preferred Stock that is converted in part only, upon such conversion the Corporation shall also execute and deliver a new certificate evidencing the number of shares of Series AAA Preferred Stock that are not converted (or a notice of such issuance if uncertificated shares are issued).</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Subsequent Equity Sales</w:t>
      </w:r>
      <w:r>
        <w:rPr>
          <w:rFonts w:ascii="Times New Roman" w:hAnsi="Times New Roman"/>
          <w:caps w:val="false"/>
          <w:smallCaps w:val="false"/>
          <w:sz w:val="20"/>
        </w:rPr>
        <w:t>. If the Corporation or any Subsidiary thereof, as applicable, shall sell, enter into an agreement to sell or grant any option to purchase, or sell or grant any right to reprice, or otherwise dispose of or issue (or announce any offer, sale, grant or any option to purchase or other disposition) any Common Stock or Common Stock Equivalents, at an effective price per share less than the Conversion Price then in effect (such lower price, the “</w:t>
      </w:r>
      <w:r>
        <w:rPr>
          <w:rFonts w:ascii="Times New Roman" w:hAnsi="Times New Roman"/>
          <w:caps w:val="false"/>
          <w:smallCaps w:val="false"/>
          <w:sz w:val="20"/>
          <w:u w:val="single"/>
        </w:rPr>
        <w:t>Base Share Price</w:t>
      </w:r>
      <w:r>
        <w:rPr>
          <w:rFonts w:ascii="Times New Roman" w:hAnsi="Times New Roman"/>
          <w:caps w:val="false"/>
          <w:smallCaps w:val="false"/>
          <w:sz w:val="20"/>
        </w:rPr>
        <w:t>” and such issuances collectively, a “</w:t>
      </w:r>
      <w:r>
        <w:rPr>
          <w:rFonts w:ascii="Times New Roman" w:hAnsi="Times New Roman"/>
          <w:caps w:val="false"/>
          <w:smallCaps w:val="false"/>
          <w:sz w:val="20"/>
          <w:u w:val="single"/>
        </w:rPr>
        <w:t>Dilutive Issuance</w:t>
      </w:r>
      <w:r>
        <w:rPr>
          <w:rFonts w:ascii="Times New Roman" w:hAnsi="Times New Roman"/>
          <w:caps w:val="false"/>
          <w:smallCaps w:val="false"/>
          <w:sz w:val="20"/>
        </w:rPr>
        <w:t xml:space="preserve">”) (it being understood and agreed that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less than the Conversion Price, such issuance shall be deemed to have occurred for less than the Conversion Price on such date of the Dilutive Issuance at such effective price), then simultaneously with the consummation (or, if earlier, the announcement) of each Dilutive Issuance the Conversion Price shall be reduced and only reduced to equal the Base Share Price. Notwithstanding the foregoing, no adjustments shall be made, paid or issued under this </w:t>
      </w:r>
      <w:r>
        <w:rPr>
          <w:rFonts w:ascii="Times New Roman" w:hAnsi="Times New Roman"/>
          <w:caps w:val="false"/>
          <w:smallCaps w:val="false"/>
          <w:sz w:val="20"/>
          <w:u w:val="single"/>
        </w:rPr>
        <w:t>Section 6(e)</w:t>
      </w:r>
      <w:r>
        <w:rPr>
          <w:rFonts w:ascii="Times New Roman" w:hAnsi="Times New Roman"/>
          <w:caps w:val="false"/>
          <w:smallCaps w:val="false"/>
          <w:sz w:val="20"/>
        </w:rPr>
        <w:t xml:space="preserve"> in respect of an Exempt Issuance. The Corporation shall notify the Holder, in writing, no later than the Trading Day following the issuance or deemed issuance of any Common Stock or Common Stock Equivalents subject to this </w:t>
      </w:r>
      <w:r>
        <w:rPr>
          <w:rFonts w:ascii="Times New Roman" w:hAnsi="Times New Roman"/>
          <w:caps w:val="false"/>
          <w:smallCaps w:val="false"/>
          <w:sz w:val="20"/>
          <w:u w:val="single"/>
        </w:rPr>
        <w:t>Section 6(e)</w:t>
      </w:r>
      <w:r>
        <w:rPr>
          <w:rFonts w:ascii="Times New Roman" w:hAnsi="Times New Roman"/>
          <w:caps w:val="false"/>
          <w:smallCaps w:val="false"/>
          <w:sz w:val="20"/>
        </w:rPr>
        <w:t>, indicating therein the applicable issuance price, or applicable reset price, exchange price, conversion price and other pricing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Notice of Adjustment of Conversion Price</w:t>
      </w:r>
      <w:r>
        <w:rPr>
          <w:rFonts w:ascii="Times New Roman" w:hAnsi="Times New Roman"/>
          <w:caps w:val="false"/>
          <w:smallCaps w:val="false"/>
          <w:sz w:val="20"/>
        </w:rPr>
        <w:t xml:space="preserve">. Whenever the provisions of </w:t>
      </w:r>
      <w:r>
        <w:rPr>
          <w:rFonts w:ascii="Times New Roman" w:hAnsi="Times New Roman"/>
          <w:caps w:val="false"/>
          <w:smallCaps w:val="false"/>
          <w:sz w:val="20"/>
          <w:u w:val="single"/>
        </w:rPr>
        <w:t>Section 6(c)</w:t>
      </w:r>
      <w:r>
        <w:rPr>
          <w:rFonts w:ascii="Times New Roman" w:hAnsi="Times New Roman"/>
          <w:caps w:val="false"/>
          <w:smallCaps w:val="false"/>
          <w:sz w:val="20"/>
        </w:rPr>
        <w:t xml:space="preserve"> require that the Conversion Price be adjusted as herein provided, the Corporation shall compute the adjusted Conversion Price in accordance with </w:t>
      </w:r>
      <w:r>
        <w:rPr>
          <w:rFonts w:ascii="Times New Roman" w:hAnsi="Times New Roman"/>
          <w:caps w:val="false"/>
          <w:smallCaps w:val="false"/>
          <w:sz w:val="20"/>
          <w:u w:val="single"/>
        </w:rPr>
        <w:t>Section 6(c)</w:t>
      </w:r>
      <w:r>
        <w:rPr>
          <w:rFonts w:ascii="Times New Roman" w:hAnsi="Times New Roman"/>
          <w:caps w:val="false"/>
          <w:smallCaps w:val="false"/>
          <w:sz w:val="20"/>
        </w:rPr>
        <w:t xml:space="preserve"> and shall prepare a certificate signed by the Corporation’s principal executive officer or principal financial officer setting forth the adjusted Conversion Price and showing in reasonable detail the facts upon which such adjustment is based, and such certificate shall forthwith be filed with the Corporation’s books and records and mailed by the Corporation at its expense to all holders of Series AAA Preferred Stock at their last addresses as they shall appear in the stock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Corporation to Reserve Common Stock</w:t>
      </w:r>
      <w:r>
        <w:rPr>
          <w:rFonts w:ascii="Times New Roman" w:hAnsi="Times New Roman"/>
          <w:caps w:val="false"/>
          <w:smallCaps w:val="false"/>
          <w:sz w:val="20"/>
        </w:rPr>
        <w:t>. Following the receipt of Stockholder Approvals and the filing of the Charter Amendment, the Corporation shall at all times reserve and keep available, free from preemptive rights, out of the authorized but unissued Common Stock or out of the Common Stock held in treasury, for the purpose of effecting the conversion of Series AAA Preferred Stock, the full number of shares of Common Stock issuable upon the conversion of all outstanding shares of Series AAA Preferred Stock. Before taking any action that would cause an adjustment reducing the Conversion Price below the then par value (if any) of the shares of Common Stock deliverable upon conversion of the Series AAA Preferred Stock, the Corporation will take any corporate action that, in the opinion of its counsel, is necessary in order that the Corporation may validly and legally issue fully paid and non-assessable shares of Common Stock at such adjusted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Taxes on Conversions</w:t>
      </w:r>
      <w:r>
        <w:rPr>
          <w:rFonts w:ascii="Times New Roman" w:hAnsi="Times New Roman"/>
          <w:caps w:val="false"/>
          <w:smallCaps w:val="false"/>
          <w:sz w:val="20"/>
        </w:rPr>
        <w:t>. The Corporation will pay any and all original issuance, transfer, stamp and other similar taxes that may be payable in respect of the issue or delivery of shares of Common Stock on conversion of Series AAA Preferred Stock pursuant hereto. The Corporation shall not, however, be required to pay any tax which may be payable in respect of any transfer involved in the issue and delivery of shares of Common Stock in a name other than that of the holder of the share(s) of Series AAA Preferred Stock to be converted (nor shall the Corporation be responsible for any other taxes payable by the holders of the Series AAA Preferred Stock), and no such issue or delivery shall be made unless and until the person requesting such issue has paid to the Corporation the amount of any such tax or has established to the satisfaction of the Corporation that such tax has been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SECTION 7    </w:t>
      </w:r>
      <w:r>
        <w:rPr>
          <w:rFonts w:ascii="Times New Roman" w:hAnsi="Times New Roman"/>
          <w:caps w:val="false"/>
          <w:smallCaps w:val="false"/>
          <w:sz w:val="20"/>
          <w:u w:val="single"/>
        </w:rPr>
        <w:t>Waiver</w:t>
      </w:r>
      <w:r>
        <w:rPr>
          <w:rFonts w:ascii="Times New Roman" w:hAnsi="Times New Roman"/>
          <w:caps w:val="false"/>
          <w:smallCaps w:val="false"/>
          <w:sz w:val="20"/>
        </w:rPr>
        <w:t>. Notwithstanding anything to the contrary herein, any provisions of this Certificate of Designation may be waived on behalf of all of the holders of Series AAA Preferred Stock by the affirmative written consent or vote of the Requisite Holders.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Corporation has caused this Certificate of Designation of Preferences and Rights to be duly executed by its Chief Executive Officer, this 17th day of July, 2026.</w:t>
      </w:r>
    </w:p>
    <w:p>
      <w:pPr>
        <w:pStyle w:val="Normal"/>
        <w:bidi w:val="0"/>
        <w:spacing w:before="0" w:after="0"/>
        <w:jc w:val="left"/>
        <w:rPr>
          <w:sz w:val="4"/>
          <w:szCs w:val="4"/>
        </w:rPr>
      </w:pPr>
      <w:r>
        <w:rPr>
          <w:sz w:val="4"/>
          <w:szCs w:val="4"/>
        </w:rPr>
      </w:r>
      <w:bookmarkStart w:id="6" w:name="signature-table1"/>
      <w:bookmarkStart w:id="7" w:name="signature-table1"/>
      <w:bookmarkEnd w:id="7"/>
    </w:p>
    <w:tbl>
      <w:tblPr>
        <w:tblW w:w="10205" w:type="dxa"/>
        <w:jc w:val="left"/>
        <w:tblInd w:w="0" w:type="dxa"/>
        <w:tblLayout w:type="fixed"/>
        <w:tblCellMar>
          <w:top w:w="0" w:type="dxa"/>
          <w:left w:w="0" w:type="dxa"/>
          <w:bottom w:w="0" w:type="dxa"/>
          <w:right w:w="0" w:type="dxa"/>
        </w:tblCellMar>
      </w:tblPr>
      <w:tblGrid>
        <w:gridCol w:w="3083"/>
        <w:gridCol w:w="322"/>
        <w:gridCol w:w="3716"/>
        <w:gridCol w:w="3084"/>
      </w:tblGrid>
      <w:tr>
        <w:trPr/>
        <w:tc>
          <w:tcPr>
            <w:tcW w:w="3083" w:type="dxa"/>
            <w:tcBorders/>
            <w:vAlign w:val="center"/>
          </w:tcPr>
          <w:p>
            <w:pPr>
              <w:pStyle w:val="TableContents"/>
              <w:bidi w:val="0"/>
              <w:spacing w:before="0" w:after="0"/>
              <w:ind w:left="0" w:right="0" w:hanging="0"/>
              <w:jc w:val="left"/>
              <w:rPr/>
            </w:pPr>
            <w:r>
              <w:rPr/>
              <w:t> </w:t>
            </w:r>
          </w:p>
        </w:tc>
        <w:tc>
          <w:tcPr>
            <w:tcW w:w="4038" w:type="dxa"/>
            <w:gridSpan w:val="2"/>
            <w:tcBorders/>
          </w:tcPr>
          <w:p>
            <w:pPr>
              <w:pStyle w:val="TableContents"/>
              <w:bidi w:val="0"/>
              <w:spacing w:before="0" w:after="0"/>
              <w:jc w:val="left"/>
              <w:rPr/>
            </w:pPr>
            <w:r>
              <w:rPr/>
              <w:t> </w:t>
            </w:r>
          </w:p>
        </w:tc>
        <w:tc>
          <w:tcPr>
            <w:tcW w:w="3084" w:type="dxa"/>
            <w:tcBorders/>
            <w:vAlign w:val="center"/>
          </w:tcPr>
          <w:p>
            <w:pPr>
              <w:pStyle w:val="TableContents"/>
              <w:bidi w:val="0"/>
              <w:spacing w:before="0" w:after="0"/>
              <w:ind w:left="0" w:right="0" w:hanging="0"/>
              <w:jc w:val="left"/>
              <w:rPr/>
            </w:pPr>
            <w:r>
              <w:rPr/>
              <w:t> </w:t>
            </w:r>
          </w:p>
        </w:tc>
      </w:tr>
      <w:tr>
        <w:trPr/>
        <w:tc>
          <w:tcPr>
            <w:tcW w:w="3083" w:type="dxa"/>
            <w:tcBorders/>
            <w:vAlign w:val="center"/>
          </w:tcPr>
          <w:p>
            <w:pPr>
              <w:pStyle w:val="TableContents"/>
              <w:bidi w:val="0"/>
              <w:spacing w:before="0" w:after="0"/>
              <w:ind w:left="0" w:right="0" w:hanging="0"/>
              <w:jc w:val="left"/>
              <w:rPr/>
            </w:pPr>
            <w:r>
              <w:rPr/>
              <w:t> </w:t>
            </w:r>
          </w:p>
        </w:tc>
        <w:tc>
          <w:tcPr>
            <w:tcW w:w="32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716"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Arturo Rodriguez</w:t>
            </w:r>
          </w:p>
        </w:tc>
        <w:tc>
          <w:tcPr>
            <w:tcW w:w="3084" w:type="dxa"/>
            <w:tcBorders/>
            <w:vAlign w:val="center"/>
          </w:tcPr>
          <w:p>
            <w:pPr>
              <w:pStyle w:val="TableContents"/>
              <w:bidi w:val="0"/>
              <w:spacing w:before="0" w:after="0"/>
              <w:ind w:left="0" w:right="0" w:hanging="0"/>
              <w:jc w:val="left"/>
              <w:rPr/>
            </w:pPr>
            <w:r>
              <w:rPr/>
              <w:t> </w:t>
            </w:r>
          </w:p>
        </w:tc>
      </w:tr>
      <w:tr>
        <w:trPr/>
        <w:tc>
          <w:tcPr>
            <w:tcW w:w="3083"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37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Arturo Rodriguez</w:t>
            </w:r>
          </w:p>
        </w:tc>
        <w:tc>
          <w:tcPr>
            <w:tcW w:w="3084" w:type="dxa"/>
            <w:tcBorders/>
            <w:vAlign w:val="center"/>
          </w:tcPr>
          <w:p>
            <w:pPr>
              <w:pStyle w:val="TableContents"/>
              <w:bidi w:val="0"/>
              <w:spacing w:before="0" w:after="0"/>
              <w:ind w:left="0" w:right="0" w:hanging="0"/>
              <w:jc w:val="left"/>
              <w:rPr/>
            </w:pPr>
            <w:r>
              <w:rPr/>
              <w:t> </w:t>
            </w:r>
          </w:p>
        </w:tc>
      </w:tr>
      <w:tr>
        <w:trPr/>
        <w:tc>
          <w:tcPr>
            <w:tcW w:w="3083"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37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Chief Executive Officer</w:t>
            </w:r>
          </w:p>
        </w:tc>
        <w:tc>
          <w:tcPr>
            <w:tcW w:w="3084"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ANNEX</w:t>
      </w:r>
      <w:r>
        <w:rPr>
          <w:rFonts w:ascii="Times New Roman" w:hAnsi="Times New Roman"/>
          <w:caps w:val="false"/>
          <w:smallCaps w:val="false"/>
          <w:sz w:val="20"/>
        </w:rPr>
        <w:t> </w:t>
      </w:r>
      <w:r>
        <w:rPr>
          <w:rFonts w:ascii="Times New Roman" w:hAnsi="Times New Roman"/>
          <w:b/>
          <w:caps w:val="false"/>
          <w:smallCaps w:val="false"/>
          <w:sz w:val="20"/>
        </w:rPr>
        <w:t>A</w:t>
      </w:r>
      <w:r>
        <w:rPr>
          <w:rFonts w:ascii="Times New Roman" w:hAnsi="Times New Roman"/>
          <w:caps w:val="false"/>
          <w:smallCaps w:val="false"/>
          <w:sz w:val="20"/>
        </w:rPr>
        <w:t> </w:t>
        <w:br/>
        <w:br/>
        <w:t>CONVERSION NOTICE</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(TO BE EXECUTED BY THE REGISTERED HOLDER IN ORDER TO CONVERT SHARES OF SERIES AAA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being the Holder of Aterian, Inc., a Delaware corporation (the “</w:t>
      </w:r>
      <w:r>
        <w:rPr>
          <w:rFonts w:ascii="Times New Roman" w:hAnsi="Times New Roman"/>
          <w:caps w:val="false"/>
          <w:smallCaps w:val="false"/>
          <w:sz w:val="20"/>
          <w:u w:val="single"/>
        </w:rPr>
        <w:t>Corporation</w:t>
      </w:r>
      <w:r>
        <w:rPr>
          <w:rFonts w:ascii="Times New Roman" w:hAnsi="Times New Roman"/>
          <w:caps w:val="false"/>
          <w:smallCaps w:val="false"/>
          <w:sz w:val="20"/>
        </w:rPr>
        <w:t>”) Series AAA Convertible Non-Redeemable Preferred Stock (the “</w:t>
      </w:r>
      <w:r>
        <w:rPr>
          <w:rFonts w:ascii="Times New Roman" w:hAnsi="Times New Roman"/>
          <w:caps w:val="false"/>
          <w:smallCaps w:val="false"/>
          <w:sz w:val="20"/>
          <w:u w:val="single"/>
        </w:rPr>
        <w:t>Series AAA Preferred Stock</w:t>
      </w:r>
      <w:r>
        <w:rPr>
          <w:rFonts w:ascii="Times New Roman" w:hAnsi="Times New Roman"/>
          <w:caps w:val="false"/>
          <w:smallCaps w:val="false"/>
          <w:sz w:val="20"/>
        </w:rPr>
        <w:t>”) hereby elects to convert the number of shares of Series AAA Preferred Stock indicated below into shares of common stock, par value $0.0001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of the Corporation, according to the conditions as set forth in the Certificate of Designation of Preferences and Rights of Series AAA Convertible Non-Redeemable Preferred Stock (the “</w:t>
      </w:r>
      <w:r>
        <w:rPr>
          <w:rFonts w:ascii="Times New Roman" w:hAnsi="Times New Roman"/>
          <w:caps w:val="false"/>
          <w:smallCaps w:val="false"/>
          <w:sz w:val="20"/>
          <w:u w:val="single"/>
        </w:rPr>
        <w:t>Certificate of Designation</w:t>
      </w:r>
      <w:r>
        <w:rPr>
          <w:rFonts w:ascii="Times New Roman" w:hAnsi="Times New Roman"/>
          <w:caps w:val="false"/>
          <w:smallCaps w:val="false"/>
          <w:sz w:val="20"/>
        </w:rPr>
        <w:t>”), as of the date written below. If shares of Common Stock are to be issued in the name of a Person other than the undersigned, the undersigned holder will pay all transfer taxes payable with respect thereto and is delivering herewith such certificates and opinions as may be required by the Corporation in accordance with the Securities Purchase Agreement, dated April 27, 2026. No fee will be charged to the Holders for any conversion, except for any such transfer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Conversion calculations:</w:t>
      </w:r>
    </w:p>
    <w:p>
      <w:pPr>
        <w:pStyle w:val="TextBody"/>
        <w:bidi w:val="0"/>
        <w:spacing w:before="0" w:after="0"/>
        <w:ind w:left="0" w:right="0" w:hanging="0"/>
        <w:jc w:val="left"/>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60"/>
        <w:gridCol w:w="6155"/>
        <w:gridCol w:w="60"/>
        <w:gridCol w:w="60"/>
      </w:tblGrid>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to Effect Conversion:</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shares of Series AAA Preferred Stock owned prior to Conversion:</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shares of Series AAA Preferred Stock to be Converted:</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Stated Value of shares of Series AAA Preferred Stock to be Converted:</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shares of Common Stock to be Issued:</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Applicable Conversion Price:</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shares of Series AAA Preferred Stock subsequent to Conversion: </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Address for Delivery:</w:t>
            </w:r>
          </w:p>
        </w:tc>
        <w:tc>
          <w:tcPr>
            <w:tcW w:w="60" w:type="dxa"/>
            <w:tcBorders/>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or</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DWAC Instructions:</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Broker no: ______________________________</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 no: _____________________________</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60"/>
        <w:gridCol w:w="320"/>
        <w:gridCol w:w="545"/>
        <w:gridCol w:w="60"/>
      </w:tblGrid>
      <w:tr>
        <w:trPr/>
        <w:tc>
          <w:tcPr>
            <w:tcW w:w="60" w:type="dxa"/>
            <w:tcBorders/>
            <w:vAlign w:val="center"/>
          </w:tcPr>
          <w:p>
            <w:pPr>
              <w:pStyle w:val="TableContents"/>
              <w:bidi w:val="0"/>
              <w:spacing w:before="0" w:after="0"/>
              <w:ind w:left="0" w:right="0" w:hanging="0"/>
              <w:jc w:val="left"/>
              <w:rPr/>
            </w:pPr>
            <w:r>
              <w:rPr/>
              <w:t> </w:t>
            </w:r>
          </w:p>
        </w:tc>
        <w:tc>
          <w:tcPr>
            <w:tcW w:w="925"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[HOLDER]</w:t>
            </w:r>
          </w:p>
        </w:tc>
      </w:tr>
      <w:tr>
        <w:trPr/>
        <w:tc>
          <w:tcPr>
            <w:tcW w:w="60" w:type="dxa"/>
            <w:tcBorders/>
            <w:vAlign w:val="center"/>
          </w:tcPr>
          <w:p>
            <w:pPr>
              <w:pStyle w:val="TableContents"/>
              <w:bidi w:val="0"/>
              <w:spacing w:before="0" w:after="0"/>
              <w:ind w:left="0" w:right="0" w:hanging="0"/>
              <w:jc w:val="left"/>
              <w:rPr/>
            </w:pPr>
            <w:r>
              <w:rPr/>
              <w:t> </w:t>
            </w:r>
          </w:p>
        </w:tc>
        <w:tc>
          <w:tcPr>
            <w:tcW w:w="925" w:type="dxa"/>
            <w:gridSpan w:val="3"/>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8" w:name="ex_989840.htm"/>
      <w:bookmarkStart w:id="9" w:name="ksex_989840"/>
      <w:bookmarkEnd w:id="8"/>
      <w:bookmarkEnd w:id="9"/>
      <w:r>
        <w:rPr>
          <w:rFonts w:ascii="Times New Roman;Times;serif" w:hAnsi="Times New Roman;Times;serif"/>
          <w:b/>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CONTINGENT VALUE RIGHTS AGREEMENT</w:t>
      </w:r>
      <w:r>
        <w:rPr>
          <w:rFonts w:ascii="Times New Roman" w:hAnsi="Times New Roman"/>
          <w:caps w:val="false"/>
          <w:smallCaps w:val="false"/>
          <w:sz w:val="20"/>
        </w:rPr>
        <w:t xml:space="preserve"> </w:t>
        <w:br/>
        <w:br/>
        <w:t>by and between</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ATERIAN, INC.,</w:t>
      </w:r>
      <w:r>
        <w:rPr>
          <w:rFonts w:ascii="Times New Roman" w:hAnsi="Times New Roman"/>
          <w:caps w:val="false"/>
          <w:smallCaps w:val="false"/>
          <w:sz w:val="20"/>
        </w:rPr>
        <w:t xml:space="preserve"> </w:t>
        <w:br/>
        <w:t>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BROADRIDGE CORPORATE ISSUER SOLUTIONS, LLC</w:t>
      </w:r>
      <w:r>
        <w:rPr>
          <w:rFonts w:ascii="Times New Roman" w:hAnsi="Times New Roman"/>
          <w:caps w:val="false"/>
          <w:smallCaps w:val="false"/>
          <w:sz w:val="20"/>
        </w:rPr>
        <w:t>,</w:t>
        <w:br/>
        <w:t>a Pennsylvania limited liability company,</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as of July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sz w:val="20"/>
        </w:rPr>
        <w:t>Table of Contents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7023" w:type="dxa"/>
        <w:jc w:val="left"/>
        <w:tblInd w:w="0" w:type="dxa"/>
        <w:tblLayout w:type="fixed"/>
        <w:tblCellMar>
          <w:top w:w="0" w:type="dxa"/>
          <w:left w:w="0" w:type="dxa"/>
          <w:bottom w:w="0" w:type="dxa"/>
          <w:right w:w="0" w:type="dxa"/>
        </w:tblCellMar>
      </w:tblPr>
      <w:tblGrid>
        <w:gridCol w:w="376"/>
        <w:gridCol w:w="6106"/>
        <w:gridCol w:w="541"/>
      </w:tblGrid>
      <w:tr>
        <w:trPr/>
        <w:tc>
          <w:tcPr>
            <w:tcW w:w="376" w:type="dxa"/>
            <w:tcBorders/>
            <w:vAlign w:val="center"/>
          </w:tcPr>
          <w:p>
            <w:pPr>
              <w:pStyle w:val="TableContents"/>
              <w:bidi w:val="0"/>
              <w:spacing w:before="0" w:after="0"/>
              <w:ind w:left="0" w:right="0" w:hanging="0"/>
              <w:jc w:val="left"/>
              <w:rPr/>
            </w:pPr>
            <w:r>
              <w:rPr/>
              <w:t> </w:t>
            </w:r>
          </w:p>
        </w:tc>
        <w:tc>
          <w:tcPr>
            <w:tcW w:w="610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Page</w:t>
            </w:r>
          </w:p>
        </w:tc>
      </w:tr>
      <w:tr>
        <w:trPr/>
        <w:tc>
          <w:tcPr>
            <w:tcW w:w="376" w:type="dxa"/>
            <w:tcBorders/>
            <w:vAlign w:val="center"/>
          </w:tcPr>
          <w:p>
            <w:pPr>
              <w:pStyle w:val="TableContents"/>
              <w:bidi w:val="0"/>
              <w:spacing w:before="0" w:after="0"/>
              <w:ind w:left="0" w:right="0" w:hanging="0"/>
              <w:jc w:val="left"/>
              <w:rPr/>
            </w:pPr>
            <w:r>
              <w:rPr/>
              <w:t> </w:t>
            </w:r>
          </w:p>
        </w:tc>
        <w:tc>
          <w:tcPr>
            <w:tcW w:w="610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pPr>
            <w:r>
              <w:rPr/>
              <w:t> </w:t>
            </w:r>
          </w:p>
        </w:tc>
      </w:tr>
      <w:tr>
        <w:trPr/>
        <w:tc>
          <w:tcPr>
            <w:tcW w:w="6482"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 DEFINITIONS; CONSTRUCTION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r>
      <w:tr>
        <w:trPr/>
        <w:tc>
          <w:tcPr>
            <w:tcW w:w="376"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1.1</w:t>
            </w:r>
          </w:p>
        </w:tc>
        <w:tc>
          <w:tcPr>
            <w:tcW w:w="61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Definitions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r>
      <w:tr>
        <w:trPr/>
        <w:tc>
          <w:tcPr>
            <w:tcW w:w="376"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1.2</w:t>
            </w:r>
          </w:p>
        </w:tc>
        <w:tc>
          <w:tcPr>
            <w:tcW w:w="61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Definitions.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r>
      <w:tr>
        <w:trPr/>
        <w:tc>
          <w:tcPr>
            <w:tcW w:w="376"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1.3</w:t>
            </w:r>
          </w:p>
        </w:tc>
        <w:tc>
          <w:tcPr>
            <w:tcW w:w="61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Rules of Construction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r>
      <w:tr>
        <w:trPr/>
        <w:tc>
          <w:tcPr>
            <w:tcW w:w="6482"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 CONTINGENT VALUE RIGHTS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r>
      <w:tr>
        <w:trPr/>
        <w:tc>
          <w:tcPr>
            <w:tcW w:w="376"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2.1</w:t>
            </w:r>
          </w:p>
        </w:tc>
        <w:tc>
          <w:tcPr>
            <w:tcW w:w="61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Holders of CVRs; Appointment of Rights Agent.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r>
      <w:tr>
        <w:trPr/>
        <w:tc>
          <w:tcPr>
            <w:tcW w:w="376"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2.2</w:t>
            </w:r>
          </w:p>
        </w:tc>
        <w:tc>
          <w:tcPr>
            <w:tcW w:w="61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Non-transferable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r>
      <w:tr>
        <w:trPr/>
        <w:tc>
          <w:tcPr>
            <w:tcW w:w="376"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2.3</w:t>
            </w:r>
          </w:p>
        </w:tc>
        <w:tc>
          <w:tcPr>
            <w:tcW w:w="61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Certificate; Registration; Registration of Transfer; Change of Address.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r>
      <w:tr>
        <w:trPr/>
        <w:tc>
          <w:tcPr>
            <w:tcW w:w="376"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2.4</w:t>
            </w:r>
          </w:p>
        </w:tc>
        <w:tc>
          <w:tcPr>
            <w:tcW w:w="61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Procedures.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r>
      <w:tr>
        <w:trPr/>
        <w:tc>
          <w:tcPr>
            <w:tcW w:w="376"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2.5</w:t>
            </w:r>
          </w:p>
        </w:tc>
        <w:tc>
          <w:tcPr>
            <w:tcW w:w="61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Voting, Dividends or Interest; No Equity or Ownership Interest.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r>
      <w:tr>
        <w:trPr/>
        <w:tc>
          <w:tcPr>
            <w:tcW w:w="376"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2.6</w:t>
            </w:r>
          </w:p>
        </w:tc>
        <w:tc>
          <w:tcPr>
            <w:tcW w:w="61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Ability to Abandon CVR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r>
      <w:tr>
        <w:trPr/>
        <w:tc>
          <w:tcPr>
            <w:tcW w:w="6482"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3. THE RIGHTS AGENT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r>
      <w:tr>
        <w:trPr/>
        <w:tc>
          <w:tcPr>
            <w:tcW w:w="376"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3.1</w:t>
            </w:r>
          </w:p>
        </w:tc>
        <w:tc>
          <w:tcPr>
            <w:tcW w:w="61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Duties and Responsibilities.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r>
      <w:tr>
        <w:trPr/>
        <w:tc>
          <w:tcPr>
            <w:tcW w:w="376"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3.2</w:t>
            </w:r>
          </w:p>
        </w:tc>
        <w:tc>
          <w:tcPr>
            <w:tcW w:w="61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Rights of Rights Agent.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r>
      <w:tr>
        <w:trPr/>
        <w:tc>
          <w:tcPr>
            <w:tcW w:w="376"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3.3</w:t>
            </w:r>
          </w:p>
        </w:tc>
        <w:tc>
          <w:tcPr>
            <w:tcW w:w="61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Resignation and Removal; Appointment of Successor.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r>
      <w:tr>
        <w:trPr/>
        <w:tc>
          <w:tcPr>
            <w:tcW w:w="376"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3.4</w:t>
            </w:r>
          </w:p>
        </w:tc>
        <w:tc>
          <w:tcPr>
            <w:tcW w:w="61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Acceptance of Appointment by Successor.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r>
      <w:tr>
        <w:trPr/>
        <w:tc>
          <w:tcPr>
            <w:tcW w:w="6482"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 COVENANTS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p>
        </w:tc>
      </w:tr>
      <w:tr>
        <w:trPr/>
        <w:tc>
          <w:tcPr>
            <w:tcW w:w="376"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4.1</w:t>
            </w:r>
          </w:p>
        </w:tc>
        <w:tc>
          <w:tcPr>
            <w:tcW w:w="61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List of Holders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p>
        </w:tc>
      </w:tr>
      <w:tr>
        <w:trPr/>
        <w:tc>
          <w:tcPr>
            <w:tcW w:w="376"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4.2</w:t>
            </w:r>
          </w:p>
        </w:tc>
        <w:tc>
          <w:tcPr>
            <w:tcW w:w="61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Special Committee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p>
        </w:tc>
      </w:tr>
      <w:tr>
        <w:trPr/>
        <w:tc>
          <w:tcPr>
            <w:tcW w:w="376"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4.3</w:t>
            </w:r>
          </w:p>
        </w:tc>
        <w:tc>
          <w:tcPr>
            <w:tcW w:w="61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Books and Records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p>
        </w:tc>
      </w:tr>
      <w:tr>
        <w:trPr/>
        <w:tc>
          <w:tcPr>
            <w:tcW w:w="376"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4.4</w:t>
            </w:r>
          </w:p>
        </w:tc>
        <w:tc>
          <w:tcPr>
            <w:tcW w:w="61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Audits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376"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4.5</w:t>
            </w:r>
          </w:p>
        </w:tc>
        <w:tc>
          <w:tcPr>
            <w:tcW w:w="61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Reporting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6482" w:type="dxa"/>
            <w:gridSpan w:val="2"/>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5. AMENDMENTS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376"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5.1</w:t>
            </w:r>
          </w:p>
        </w:tc>
        <w:tc>
          <w:tcPr>
            <w:tcW w:w="61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Amendments.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376"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5.2</w:t>
            </w:r>
          </w:p>
        </w:tc>
        <w:tc>
          <w:tcPr>
            <w:tcW w:w="61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Amendments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c>
          <w:tcPr>
            <w:tcW w:w="6482"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6. CONSOLIDATION, MERGER, SALE OR CONVEYANCE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r>
      <w:tr>
        <w:trPr/>
        <w:tc>
          <w:tcPr>
            <w:tcW w:w="376"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6.1</w:t>
            </w:r>
          </w:p>
        </w:tc>
        <w:tc>
          <w:tcPr>
            <w:tcW w:w="61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May Not Consolidate, Etc.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r>
      <w:tr>
        <w:trPr/>
        <w:tc>
          <w:tcPr>
            <w:tcW w:w="376"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6.2</w:t>
            </w:r>
          </w:p>
        </w:tc>
        <w:tc>
          <w:tcPr>
            <w:tcW w:w="61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Successor Substituted.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r>
      <w:tr>
        <w:trPr/>
        <w:tc>
          <w:tcPr>
            <w:tcW w:w="6482"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 MISCELLANEOUS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r>
      <w:tr>
        <w:trPr/>
        <w:tc>
          <w:tcPr>
            <w:tcW w:w="376"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7.1</w:t>
            </w:r>
          </w:p>
        </w:tc>
        <w:tc>
          <w:tcPr>
            <w:tcW w:w="61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Notices to Rights Agent and to the Company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r>
      <w:tr>
        <w:trPr/>
        <w:tc>
          <w:tcPr>
            <w:tcW w:w="376"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7.2</w:t>
            </w:r>
          </w:p>
        </w:tc>
        <w:tc>
          <w:tcPr>
            <w:tcW w:w="61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 to Holders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r>
      <w:tr>
        <w:trPr/>
        <w:tc>
          <w:tcPr>
            <w:tcW w:w="376"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7.3</w:t>
            </w:r>
          </w:p>
        </w:tc>
        <w:tc>
          <w:tcPr>
            <w:tcW w:w="61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Entire Agreement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p>
      <w:pPr>
        <w:pStyle w:val="HorizontalLine"/>
        <w:bidi w:val="0"/>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caps/>
          <w:sz w:val="20"/>
        </w:rPr>
        <w:t>Table of Contents</w:t>
      </w:r>
      <w:r>
        <w:rPr>
          <w:rFonts w:ascii="Times New Roman;Times;serif" w:hAnsi="Times New Roman;Times;serif"/>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(continued)</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6123" w:type="dxa"/>
        <w:jc w:val="left"/>
        <w:tblInd w:w="0" w:type="dxa"/>
        <w:tblLayout w:type="fixed"/>
        <w:tblCellMar>
          <w:top w:w="0" w:type="dxa"/>
          <w:left w:w="0" w:type="dxa"/>
          <w:bottom w:w="0" w:type="dxa"/>
          <w:right w:w="0" w:type="dxa"/>
        </w:tblCellMar>
      </w:tblPr>
      <w:tblGrid>
        <w:gridCol w:w="481"/>
        <w:gridCol w:w="5101"/>
        <w:gridCol w:w="541"/>
      </w:tblGrid>
      <w:tr>
        <w:trPr/>
        <w:tc>
          <w:tcPr>
            <w:tcW w:w="481"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Page</w:t>
            </w:r>
          </w:p>
        </w:tc>
      </w:tr>
      <w:tr>
        <w:trPr/>
        <w:tc>
          <w:tcPr>
            <w:tcW w:w="481"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pPr>
            <w:r>
              <w:rPr/>
              <w:t> </w:t>
            </w:r>
          </w:p>
        </w:tc>
      </w:tr>
      <w:tr>
        <w:trPr/>
        <w:tc>
          <w:tcPr>
            <w:tcW w:w="481"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7.4</w:t>
            </w:r>
          </w:p>
        </w:tc>
        <w:tc>
          <w:tcPr>
            <w:tcW w:w="51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Merger or Consolidation or Change of Name of Rights Agent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r>
      <w:tr>
        <w:trPr/>
        <w:tc>
          <w:tcPr>
            <w:tcW w:w="481"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7.5</w:t>
            </w:r>
          </w:p>
        </w:tc>
        <w:tc>
          <w:tcPr>
            <w:tcW w:w="510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Successors and Assigns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r>
      <w:tr>
        <w:trPr/>
        <w:tc>
          <w:tcPr>
            <w:tcW w:w="481"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7.6</w:t>
            </w:r>
          </w:p>
        </w:tc>
        <w:tc>
          <w:tcPr>
            <w:tcW w:w="51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Benefits of Agreement; Action by Holders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r>
      <w:tr>
        <w:trPr/>
        <w:tc>
          <w:tcPr>
            <w:tcW w:w="481"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7.7</w:t>
            </w:r>
          </w:p>
        </w:tc>
        <w:tc>
          <w:tcPr>
            <w:tcW w:w="510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Governing Law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r>
      <w:tr>
        <w:trPr/>
        <w:tc>
          <w:tcPr>
            <w:tcW w:w="481"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7.8</w:t>
            </w:r>
          </w:p>
        </w:tc>
        <w:tc>
          <w:tcPr>
            <w:tcW w:w="51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Jurisdiction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r>
      <w:tr>
        <w:trPr/>
        <w:tc>
          <w:tcPr>
            <w:tcW w:w="481"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7.9</w:t>
            </w:r>
          </w:p>
        </w:tc>
        <w:tc>
          <w:tcPr>
            <w:tcW w:w="510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WAIVER OF JURY TRIAL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r>
      <w:tr>
        <w:trPr/>
        <w:tc>
          <w:tcPr>
            <w:tcW w:w="481"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7.10</w:t>
            </w:r>
          </w:p>
        </w:tc>
        <w:tc>
          <w:tcPr>
            <w:tcW w:w="51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Severability Clause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r>
      <w:tr>
        <w:trPr/>
        <w:tc>
          <w:tcPr>
            <w:tcW w:w="481"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7.11</w:t>
            </w:r>
          </w:p>
        </w:tc>
        <w:tc>
          <w:tcPr>
            <w:tcW w:w="510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Counterparts; Effectiveness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r>
      <w:tr>
        <w:trPr/>
        <w:tc>
          <w:tcPr>
            <w:tcW w:w="481"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7.12</w:t>
            </w:r>
          </w:p>
        </w:tc>
        <w:tc>
          <w:tcPr>
            <w:tcW w:w="51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Termination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r>
      <w:tr>
        <w:trPr/>
        <w:tc>
          <w:tcPr>
            <w:tcW w:w="481"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7.13</w:t>
            </w:r>
          </w:p>
        </w:tc>
        <w:tc>
          <w:tcPr>
            <w:tcW w:w="510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Force Majeure </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r>
      <w:tr>
        <w:trPr/>
        <w:tc>
          <w:tcPr>
            <w:tcW w:w="481"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7.14</w:t>
            </w:r>
          </w:p>
        </w:tc>
        <w:tc>
          <w:tcPr>
            <w:tcW w:w="510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Recourse Against Others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CONTINGENT VALUE RIGHTS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THIS CONTINGENT VALUE RIGHTS AGREEMENT </w:t>
      </w:r>
      <w:r>
        <w:rPr>
          <w:rFonts w:ascii="Times New Roman" w:hAnsi="Times New Roman"/>
          <w:caps w:val="false"/>
          <w:smallCaps w:val="false"/>
          <w:sz w:val="20"/>
        </w:rPr>
        <w:t>(this “</w:t>
      </w:r>
      <w:r>
        <w:rPr>
          <w:rFonts w:ascii="Times New Roman" w:hAnsi="Times New Roman"/>
          <w:b/>
          <w:i/>
          <w:caps w:val="false"/>
          <w:smallCaps w:val="false"/>
          <w:sz w:val="20"/>
        </w:rPr>
        <w:t>Agreement</w:t>
      </w:r>
      <w:r>
        <w:rPr>
          <w:rFonts w:ascii="Times New Roman" w:hAnsi="Times New Roman"/>
          <w:caps w:val="false"/>
          <w:smallCaps w:val="false"/>
          <w:sz w:val="20"/>
        </w:rPr>
        <w:t>”), dated as of July 17, 2026, is entered into by and between Aterian, Inc., a Delaware corporation (the “</w:t>
      </w:r>
      <w:r>
        <w:rPr>
          <w:rFonts w:ascii="Times New Roman" w:hAnsi="Times New Roman"/>
          <w:b/>
          <w:i/>
          <w:caps w:val="false"/>
          <w:smallCaps w:val="false"/>
          <w:sz w:val="20"/>
        </w:rPr>
        <w:t>Company</w:t>
      </w:r>
      <w:r>
        <w:rPr>
          <w:rFonts w:ascii="Times New Roman" w:hAnsi="Times New Roman"/>
          <w:caps w:val="false"/>
          <w:smallCaps w:val="false"/>
          <w:sz w:val="20"/>
        </w:rPr>
        <w:t>”), and Broadridge Corporate Issuer Solutions, LLC, a Pennsylvania limited liability company, as Rights Agent (as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RECITALS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Company is party to that certain (i) Asset Purchase Agreement, dated April 27, 2026 (as it may be amended, restated, supplemented or otherwise modified from time to time in accordance with the terms thereof, the “</w:t>
      </w:r>
      <w:r>
        <w:rPr>
          <w:rFonts w:ascii="Times New Roman" w:hAnsi="Times New Roman"/>
          <w:b/>
          <w:i/>
          <w:caps w:val="false"/>
          <w:smallCaps w:val="false"/>
          <w:sz w:val="20"/>
        </w:rPr>
        <w:t>APA</w:t>
      </w:r>
      <w:r>
        <w:rPr>
          <w:rFonts w:ascii="Times New Roman" w:hAnsi="Times New Roman"/>
          <w:caps w:val="false"/>
          <w:smallCaps w:val="false"/>
          <w:sz w:val="20"/>
        </w:rPr>
        <w:t>”), by and between the Company and Trademark Global, LLC, a Delaware limited liability company (“</w:t>
      </w:r>
      <w:r>
        <w:rPr>
          <w:rFonts w:ascii="Times New Roman" w:hAnsi="Times New Roman"/>
          <w:b/>
          <w:i/>
          <w:caps w:val="false"/>
          <w:smallCaps w:val="false"/>
          <w:sz w:val="20"/>
        </w:rPr>
        <w:t>Trademark Global</w:t>
      </w:r>
      <w:r>
        <w:rPr>
          <w:rFonts w:ascii="Times New Roman" w:hAnsi="Times New Roman"/>
          <w:caps w:val="false"/>
          <w:smallCaps w:val="false"/>
          <w:sz w:val="20"/>
        </w:rPr>
        <w:t>”), pursuant to which and subject to the terms and conditions set forth therein, the Company and each other Seller Entity (as defined in the APA) would sell all of the Company’s and each such Seller Entity’s right, title and interest in and to all of the Purchased Assets (as defined in the APA) to Trademark Global, or one of its direct or indirect wholly-owned subsidiaries (the transactions contemplated by the APA, the “</w:t>
      </w:r>
      <w:r>
        <w:rPr>
          <w:rFonts w:ascii="Times New Roman" w:hAnsi="Times New Roman"/>
          <w:b/>
          <w:i/>
          <w:caps w:val="false"/>
          <w:smallCaps w:val="false"/>
          <w:sz w:val="20"/>
        </w:rPr>
        <w:t>Asset Sale</w:t>
      </w:r>
      <w:r>
        <w:rPr>
          <w:rFonts w:ascii="Times New Roman" w:hAnsi="Times New Roman"/>
          <w:caps w:val="false"/>
          <w:smallCaps w:val="false"/>
          <w:sz w:val="20"/>
        </w:rPr>
        <w:t>”), and (ii) Securities Purchase Agreement, dated April 27, 2026 (as it may be amended, restated, supplemented or otherwise modified from time to time in accordance with the terms thereof, the “</w:t>
      </w:r>
      <w:r>
        <w:rPr>
          <w:rFonts w:ascii="Times New Roman" w:hAnsi="Times New Roman"/>
          <w:b/>
          <w:i/>
          <w:caps w:val="false"/>
          <w:smallCaps w:val="false"/>
          <w:sz w:val="20"/>
        </w:rPr>
        <w:t>SPA</w:t>
      </w:r>
      <w:r>
        <w:rPr>
          <w:rFonts w:ascii="Times New Roman" w:hAnsi="Times New Roman"/>
          <w:caps w:val="false"/>
          <w:smallCaps w:val="false"/>
          <w:sz w:val="20"/>
        </w:rPr>
        <w:t>”), by and between the Company and David E. Lazar (“</w:t>
      </w:r>
      <w:r>
        <w:rPr>
          <w:rFonts w:ascii="Times New Roman" w:hAnsi="Times New Roman"/>
          <w:b/>
          <w:i/>
          <w:caps w:val="false"/>
          <w:smallCaps w:val="false"/>
          <w:sz w:val="20"/>
        </w:rPr>
        <w:t>Lazar</w:t>
      </w:r>
      <w:r>
        <w:rPr>
          <w:rFonts w:ascii="Times New Roman" w:hAnsi="Times New Roman"/>
          <w:caps w:val="false"/>
          <w:smallCaps w:val="false"/>
          <w:sz w:val="20"/>
        </w:rPr>
        <w:t>”), pursuant to which and subject to the terms and conditions set forth therein, the Company would issue and sell to Lazar (i) 1,750,000 shares of newly created Series AA Convertible Non-Redeemable Preferred Stock, par value $0.0001 per share (the “</w:t>
      </w:r>
      <w:r>
        <w:rPr>
          <w:rFonts w:ascii="Times New Roman" w:hAnsi="Times New Roman"/>
          <w:b/>
          <w:i/>
          <w:caps w:val="false"/>
          <w:smallCaps w:val="false"/>
          <w:sz w:val="20"/>
        </w:rPr>
        <w:t>Series AA Preferred Stock</w:t>
      </w:r>
      <w:r>
        <w:rPr>
          <w:rFonts w:ascii="Times New Roman" w:hAnsi="Times New Roman"/>
          <w:caps w:val="false"/>
          <w:smallCaps w:val="false"/>
          <w:sz w:val="20"/>
        </w:rPr>
        <w:t>”), at a price per share of $2.00 (subject to adjustment for any stock dividend, stock split, reverse stock split or similar transaction), which shares of Series AA Preferred Stock were issued to Lazar upon signing of the SPA, and (ii) 1,750,000 shares of newly created Series AAA Convertible Non-Redeemable Preferred Stock, par value $0.0001 per share (the “</w:t>
      </w:r>
      <w:r>
        <w:rPr>
          <w:rFonts w:ascii="Times New Roman" w:hAnsi="Times New Roman"/>
          <w:b/>
          <w:i/>
          <w:caps w:val="false"/>
          <w:smallCaps w:val="false"/>
          <w:sz w:val="20"/>
        </w:rPr>
        <w:t>Series AAA Preferred Stock</w:t>
      </w:r>
      <w:r>
        <w:rPr>
          <w:rFonts w:ascii="Times New Roman" w:hAnsi="Times New Roman"/>
          <w:caps w:val="false"/>
          <w:smallCaps w:val="false"/>
          <w:sz w:val="20"/>
        </w:rPr>
        <w:t>”), at a price per share of $2.00 (subject to adjustment for any stock dividend, stock split, reverse stock split or similar transaction) (collectively, the “</w:t>
      </w:r>
      <w:r>
        <w:rPr>
          <w:rFonts w:ascii="Times New Roman" w:hAnsi="Times New Roman"/>
          <w:b/>
          <w:i/>
          <w:caps w:val="false"/>
          <w:smallCaps w:val="false"/>
          <w:sz w:val="20"/>
        </w:rPr>
        <w:t>Investment Transaction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Company anticipates that, in addition to the net proceeds from the Asset Sale and Investment Transaction (collectively, the “</w:t>
      </w:r>
      <w:r>
        <w:rPr>
          <w:rFonts w:ascii="Times New Roman" w:hAnsi="Times New Roman"/>
          <w:b/>
          <w:i/>
          <w:caps w:val="false"/>
          <w:smallCaps w:val="false"/>
          <w:sz w:val="20"/>
        </w:rPr>
        <w:t>Transaction Proceeds</w:t>
      </w:r>
      <w:r>
        <w:rPr>
          <w:rFonts w:ascii="Times New Roman" w:hAnsi="Times New Roman"/>
          <w:caps w:val="false"/>
          <w:smallCaps w:val="false"/>
          <w:sz w:val="20"/>
        </w:rPr>
        <w:t>”), it may receive cash or other proceeds, if any, (i) from sales of inventory not purchased by Trademark Global and collections on outstanding receivables which the Company will collect in the ordinary course following the closing of the Asset Sale, (ii) in connection with or as the result of any tax or other refunds, credits, rebates, drawbacks, claims for recovery or causes of action relating to any anti-dumping actions, international tariffs, sanctions, trade policies or disputes, customs duties or any “trade war” or similar actions in the United States or any other country or region in the world, in each case in respect of any period prior to the closing of the sale of the Series AAA Preferred Stock (the “</w:t>
      </w:r>
      <w:r>
        <w:rPr>
          <w:rFonts w:ascii="Times New Roman" w:hAnsi="Times New Roman"/>
          <w:b/>
          <w:i/>
          <w:caps w:val="false"/>
          <w:smallCaps w:val="false"/>
          <w:sz w:val="20"/>
        </w:rPr>
        <w:t>Second SPA Closing</w:t>
      </w:r>
      <w:r>
        <w:rPr>
          <w:rFonts w:ascii="Times New Roman" w:hAnsi="Times New Roman"/>
          <w:caps w:val="false"/>
          <w:smallCaps w:val="false"/>
          <w:sz w:val="20"/>
        </w:rPr>
        <w:t>”), (iii) in connection with or as a result of the release of any restricted cash or import bond held by the Company at or prior to the Second SPA Closing, (iv) in connection with or as a result of the release of any amounts held in escrow for the benefit of the Company and/or any of its equityholders in connection with the Asset Sale or in respect of any other transaction occurring at or prior to the Second SPA Closing, (v) from reserves held with respect to certain Specified Liabilities (as defined in the SPA), and (vi) from the sale of certain real property, equity investments, and any remaining brands or brand related assets not purchased by Trademark Global (collectively, the “</w:t>
      </w:r>
      <w:r>
        <w:rPr>
          <w:rFonts w:ascii="Times New Roman" w:hAnsi="Times New Roman"/>
          <w:b/>
          <w:i/>
          <w:caps w:val="false"/>
          <w:smallCaps w:val="false"/>
          <w:sz w:val="20"/>
        </w:rPr>
        <w:t>Additional Proceeds</w:t>
      </w:r>
      <w:r>
        <w:rPr>
          <w:rFonts w:ascii="Times New Roman" w:hAnsi="Times New Roman"/>
          <w:caps w:val="false"/>
          <w:smallCaps w:val="false"/>
          <w:sz w:val="20"/>
        </w:rPr>
        <w:t>” and together with the Transaction Proceeds, the “</w:t>
      </w:r>
      <w:r>
        <w:rPr>
          <w:rFonts w:ascii="Times New Roman" w:hAnsi="Times New Roman"/>
          <w:b/>
          <w:i/>
          <w:caps w:val="false"/>
          <w:smallCaps w:val="false"/>
          <w:sz w:val="20"/>
        </w:rPr>
        <w:t>Proceeds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on June 25, 2026, the Board approved the distribution of one contingent value right issued for each share of Common Stock, or, as to the Participating Warrants, each share of Common Stock into which such Participating Warrant is exercisable (in accordance with the terms of such warrants), held by the applicable Holder as of the close of business on the Record Date (such distribution, the “</w:t>
      </w:r>
      <w:r>
        <w:rPr>
          <w:rFonts w:ascii="Times New Roman" w:hAnsi="Times New Roman"/>
          <w:b/>
          <w:i/>
          <w:caps w:val="false"/>
          <w:smallCaps w:val="false"/>
          <w:sz w:val="20"/>
        </w:rPr>
        <w:t>Distribution</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the avoidance of doubt, no shares of the Company’s (x) Series AA Preferred Stock, nor (y) Series AAA Preferred Stock shall entitle any holder thereof to receive any CVR or participate in the Distribution and such holder has waived all such rights as set forth in the SPA;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Company desires to provide the Holders with the CVRs subject to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Rights Agent is willing to act in connection with the issuance, transfer, exchange and payment of such CVRs as provided 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parties have done all things reasonably necessary to make the CVRs, when issued pursuant to the terms and conditions hereof, the valid obligations of the Company and to make this Agreement a valid and binding agreement of the Company,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in consideration of the foregoing and the consummation of the transactions referred to above, the Company and the Rights Agent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xml:space="preserve"> </w:t>
        <w:br/>
        <w:br/>
      </w:r>
      <w:r>
        <w:rPr>
          <w:rFonts w:ascii="Times New Roman" w:hAnsi="Times New Roman"/>
          <w:b/>
          <w:caps w:val="false"/>
          <w:smallCaps w:val="false"/>
          <w:sz w:val="20"/>
        </w:rPr>
        <w:t>DEFINITIONS; CONSTRUCTION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b/>
          <w:caps w:val="false"/>
          <w:smallCaps w:val="false"/>
          <w:sz w:val="20"/>
        </w:rPr>
        <w:t>Definitions</w:t>
      </w:r>
      <w:r>
        <w:rPr>
          <w:rFonts w:ascii="Times New Roman" w:hAnsi="Times New Roman"/>
          <w:caps w:val="false"/>
          <w:smallCaps w:val="false"/>
          <w:sz w:val="20"/>
        </w:rPr>
        <w:t>. Capitalized terms used but not otherwise defined herein have the meanings ascribed thereto in the APA or SPA, as applicable. The following terms have the meanings ascribed to them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Board</w:t>
      </w:r>
      <w:r>
        <w:rPr>
          <w:rFonts w:ascii="Times New Roman" w:hAnsi="Times New Roman"/>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Common Stock</w:t>
      </w:r>
      <w:r>
        <w:rPr>
          <w:rFonts w:ascii="Times New Roman" w:hAnsi="Times New Roman"/>
          <w:caps w:val="false"/>
          <w:smallCaps w:val="false"/>
          <w:sz w:val="20"/>
        </w:rPr>
        <w:t>” means the common stock, $0.0001 par value,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CVR</w:t>
      </w:r>
      <w:r>
        <w:rPr>
          <w:rFonts w:ascii="Times New Roman" w:hAnsi="Times New Roman"/>
          <w:caps w:val="false"/>
          <w:smallCaps w:val="false"/>
          <w:sz w:val="20"/>
        </w:rPr>
        <w:t>” means a contingent contractual right of Holders to receive CVR Payments pursuant to the APA, the SPA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CVR Payment</w:t>
      </w:r>
      <w:r>
        <w:rPr>
          <w:rFonts w:ascii="Times New Roman" w:hAnsi="Times New Roman"/>
          <w:caps w:val="false"/>
          <w:smallCaps w:val="false"/>
          <w:sz w:val="20"/>
        </w:rPr>
        <w:t xml:space="preserve">” means, with respect to any Proceeds Event, the applicable Proceeds, without interest (except for any interest accruing on an overdue CVR Payment as provided in </w:t>
      </w:r>
      <w:r>
        <w:rPr>
          <w:rFonts w:ascii="Times New Roman" w:hAnsi="Times New Roman"/>
          <w:caps w:val="false"/>
          <w:smallCaps w:val="false"/>
          <w:sz w:val="20"/>
          <w:u w:val="single"/>
        </w:rPr>
        <w:t>Section 2.4(a)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CVR Payment Amount</w:t>
      </w:r>
      <w:r>
        <w:rPr>
          <w:rFonts w:ascii="Times New Roman" w:hAnsi="Times New Roman"/>
          <w:caps w:val="false"/>
          <w:smallCaps w:val="false"/>
          <w:sz w:val="20"/>
        </w:rPr>
        <w:t>” means with respect to each CVR Payment and each Holder, an amount equal to such CVR Payment divided by the total number of CVRs outstanding at such time and then multiplied by the total number of CVRs held by such Holder as reflected on the CVR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DTC</w:t>
      </w:r>
      <w:r>
        <w:rPr>
          <w:rFonts w:ascii="Times New Roman" w:hAnsi="Times New Roman"/>
          <w:caps w:val="false"/>
          <w:smallCaps w:val="false"/>
          <w:sz w:val="20"/>
        </w:rPr>
        <w:t>” means The Depository Trust Company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Holder</w:t>
      </w:r>
      <w:r>
        <w:rPr>
          <w:rFonts w:ascii="Times New Roman" w:hAnsi="Times New Roman"/>
          <w:caps w:val="false"/>
          <w:smallCaps w:val="false"/>
          <w:sz w:val="20"/>
        </w:rPr>
        <w:t>” means, at the relevant time, a Person in whose name CVRs are registered in the CVR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Officer</w:t>
      </w:r>
      <w:r>
        <w:rPr>
          <w:rFonts w:ascii="Times New Roman" w:hAnsi="Times New Roman"/>
          <w:caps w:val="false"/>
          <w:smallCaps w:val="false"/>
          <w:sz w:val="20"/>
        </w:rPr>
        <w:t>’</w:t>
      </w:r>
      <w:r>
        <w:rPr>
          <w:rFonts w:ascii="Times New Roman" w:hAnsi="Times New Roman"/>
          <w:b/>
          <w:i/>
          <w:caps w:val="false"/>
          <w:smallCaps w:val="false"/>
          <w:sz w:val="20"/>
        </w:rPr>
        <w:t>s Certificate</w:t>
      </w:r>
      <w:r>
        <w:rPr>
          <w:rFonts w:ascii="Times New Roman" w:hAnsi="Times New Roman"/>
          <w:caps w:val="false"/>
          <w:smallCaps w:val="false"/>
          <w:sz w:val="20"/>
        </w:rPr>
        <w:t>” means a certificate signed by the chief executive officer, chief financial officer, treasurer, or secretary of the Company, in their respective official capacities.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Participating Warrants</w:t>
      </w:r>
      <w:r>
        <w:rPr>
          <w:rFonts w:ascii="Times New Roman" w:hAnsi="Times New Roman"/>
          <w:caps w:val="false"/>
          <w:smallCaps w:val="false"/>
          <w:sz w:val="20"/>
        </w:rPr>
        <w:t xml:space="preserve">” means the warrants to purchase Common Stock as set forth on </w:t>
      </w:r>
      <w:r>
        <w:rPr>
          <w:rFonts w:ascii="Times New Roman" w:hAnsi="Times New Roman"/>
          <w:caps w:val="false"/>
          <w:smallCaps w:val="false"/>
          <w:sz w:val="20"/>
          <w:u w:val="single"/>
        </w:rPr>
        <w:t>Schedule B</w:t>
      </w:r>
      <w:r>
        <w:rPr>
          <w:rFonts w:ascii="Times New Roman" w:hAnsi="Times New Roman"/>
          <w:caps w:val="false"/>
          <w:smallCaps w:val="false"/>
          <w:sz w:val="20"/>
        </w:rPr>
        <w:t xml:space="preserve"> hereto that have not been exercised and settled prior to the Record Date (and which have a right to participate in the Distribution pursuant to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Party</w:t>
      </w:r>
      <w:r>
        <w:rPr>
          <w:rFonts w:ascii="Times New Roman" w:hAnsi="Times New Roman"/>
          <w:caps w:val="false"/>
          <w:smallCaps w:val="false"/>
          <w:sz w:val="20"/>
        </w:rPr>
        <w:t>” means the Company or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Permitted Transfer</w:t>
      </w:r>
      <w:r>
        <w:rPr>
          <w:rFonts w:ascii="Times New Roman" w:hAnsi="Times New Roman"/>
          <w:caps w:val="false"/>
          <w:smallCaps w:val="false"/>
          <w:sz w:val="20"/>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with respect to the foregoing clauses (a)-(e), the transferee in such transfer of CVRs shall have delivered to the Company and the Rights Agent an IRS Form W-9 or appropriate IRS Form W-8, as applicable, as soon as practicable following such Permitted Transfer;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the Rights Agent shall have no duty to determine whether any transfer constitutes a Permitted Transfer except to the extent expressly required by </w:t>
      </w:r>
      <w:r>
        <w:rPr>
          <w:rFonts w:ascii="Times New Roman" w:hAnsi="Times New Roman"/>
          <w:caps w:val="false"/>
          <w:smallCaps w:val="false"/>
          <w:sz w:val="20"/>
          <w:u w:val="single"/>
        </w:rPr>
        <w:t>Section 2.3(c)</w:t>
      </w:r>
      <w:r>
        <w:rPr>
          <w:rFonts w:ascii="Times New Roman" w:hAnsi="Times New Roman"/>
          <w:caps w:val="false"/>
          <w:smallCaps w:val="false"/>
          <w:sz w:val="20"/>
        </w:rPr>
        <w:t xml:space="preserve"> and may conclusively rely on the written instructions, certifications and information provided by the Company, the Holder or such Holder’s authorized representative in connection with any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Proceeds Event</w:t>
      </w:r>
      <w:r>
        <w:rPr>
          <w:rFonts w:ascii="Times New Roman" w:hAnsi="Times New Roman"/>
          <w:caps w:val="false"/>
          <w:smallCaps w:val="false"/>
          <w:sz w:val="20"/>
        </w:rPr>
        <w:t xml:space="preserve">” means the occurrence of any of the events set forth on </w:t>
      </w:r>
      <w:r>
        <w:rPr>
          <w:rFonts w:ascii="Times New Roman" w:hAnsi="Times New Roman"/>
          <w:caps w:val="false"/>
          <w:smallCaps w:val="false"/>
          <w:sz w:val="20"/>
          <w:u w:val="single"/>
        </w:rPr>
        <w:t>Schedule 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Record Date</w:t>
      </w:r>
      <w:r>
        <w:rPr>
          <w:rFonts w:ascii="Times New Roman" w:hAnsi="Times New Roman"/>
          <w:caps w:val="false"/>
          <w:smallCaps w:val="false"/>
          <w:sz w:val="20"/>
        </w:rPr>
        <w:t>” means July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Rights Agent</w:t>
      </w:r>
      <w:r>
        <w:rPr>
          <w:rFonts w:ascii="Times New Roman" w:hAnsi="Times New Roman"/>
          <w:caps w:val="false"/>
          <w:smallCaps w:val="false"/>
          <w:sz w:val="20"/>
        </w:rPr>
        <w:t>” means Broadridge Corporate Issuer Solutions, LLC, a Pennsylvania limited liability company, until a successor Rights Agent will have become the Rights Agent pursuant to the applicable provisions of this Agreement, and thereafter “Rights Agent” will mean such successor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Special Committee</w:t>
      </w:r>
      <w:r>
        <w:rPr>
          <w:rFonts w:ascii="Times New Roman" w:hAnsi="Times New Roman"/>
          <w:caps w:val="false"/>
          <w:smallCaps w:val="false"/>
          <w:sz w:val="20"/>
        </w:rPr>
        <w:t xml:space="preserve">” means the special committee of the Board comprised, from time to time, of William Kurtz and Arturo Rodriguez or any one of them, and their successors, assigns, and/or designees (including any such Person designated by the Special Committee pursuant to </w:t>
      </w:r>
      <w:r>
        <w:rPr>
          <w:rFonts w:ascii="Times New Roman" w:hAnsi="Times New Roman"/>
          <w:caps w:val="false"/>
          <w:smallCaps w:val="false"/>
          <w:sz w:val="20"/>
          <w:u w:val="single"/>
        </w:rPr>
        <w:t>Section 4.2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Termination Date</w:t>
      </w:r>
      <w:r>
        <w:rPr>
          <w:rFonts w:ascii="Times New Roman" w:hAnsi="Times New Roman"/>
          <w:caps w:val="false"/>
          <w:smallCaps w:val="false"/>
          <w:sz w:val="20"/>
        </w:rPr>
        <w:t>” means the earlier of (a) March 1, 2028 and (b) the date following the CVR Payment Date with respect to the occurrence of the last remaining Proceeds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b/>
          <w:caps w:val="false"/>
          <w:smallCaps w:val="false"/>
          <w:sz w:val="20"/>
        </w:rPr>
        <w:t>Certain Definitions.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2495"/>
        <w:gridCol w:w="1160"/>
      </w:tblGrid>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Additional Proceeds</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Agreement</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Preamble</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APA</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Asset Sale</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Assignee</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7.5</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Company</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Preamble</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CVR Payment Date</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2.4(a)</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CVR Register</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2.3(b)</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Distribution</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Investment Transaction</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Lazar</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Notice</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Proceeds</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Proceeds Event Notice</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2.4(a)</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Second SPA Closing</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Series AA Preferred Stock</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Series AAA Preferred Stock</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SPA</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Surviving Person</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6.1(a)</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Trademark Global</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Transaction Proceeds</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Recitals</w:t>
            </w:r>
          </w:p>
        </w:tc>
      </w:tr>
      <w:tr>
        <w:trPr/>
        <w:tc>
          <w:tcPr>
            <w:tcW w:w="2495" w:type="dxa"/>
            <w:tcBorders/>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b/>
                <w:i/>
                <w:caps w:val="false"/>
                <w:smallCaps w:val="false"/>
                <w:sz w:val="20"/>
              </w:rPr>
              <w:t>Withholding Taxes</w:t>
            </w:r>
            <w:r>
              <w:rPr>
                <w:rFonts w:ascii="Times New Roman" w:hAnsi="Times New Roman"/>
                <w:caps w:val="false"/>
                <w:smallCaps w:val="false"/>
                <w:sz w:val="20"/>
              </w:rPr>
              <w:t>”</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2.4(b)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b/>
          <w:caps w:val="false"/>
          <w:smallCaps w:val="false"/>
          <w:sz w:val="20"/>
        </w:rPr>
        <w:t>Rules of Construction</w:t>
      </w:r>
      <w:r>
        <w:rPr>
          <w:rFonts w:ascii="Times New Roman" w:hAnsi="Times New Roman"/>
          <w:caps w:val="false"/>
          <w:smallCaps w:val="false"/>
          <w:sz w:val="20"/>
        </w:rPr>
        <w:t>. For purposes of this Agreement, the parties hereto agree that: (a) whenever the context requires, the singular number shall include the plural, and vice versa; (b) the masculine gender shall include the feminine and neuter genders; the feminine gender shall include the masculine and neuter genders; and the neuter gender shall include masculine and feminine genders; (c) the word “extent” in the phrase “to the extent” means the degree to which a subject or other thing extends, and does not simply mean “if”; (d) the words “include” and “including,” and variations thereof, shall not be deemed to be terms of limitation, but rather shall be deemed to be followed by the words “without limitation;” (e) the meaning assigned to each capitalized term defined and used in this Agreement is equally applicable to both the singular and the plural forms of such term, and words denoting any gender include all genders; (f) where a word or phrase is defined in this Agreement, each of its other grammatical forms has a corresponding meaning unless the context otherwise requires; (g) a reference to any specific Law or to any provision of any Law includes any amendment to, and any modification, re-enactment or successor thereof, any legislative provision substituted therefor and all rules, regulations and statutory instruments issued thereunder or pursuant thereto; (h) references to any agreement or Contract are to that agreement or Contract as amended, modified or supplemented; (i) they have been represented by legal counsel during the negotiation and execution and delivery of this Agreement; (j) the word “or” shall not be exclusive (i.e., “or” shall be deemed to mean “and/or”) unless the subjects of the conjunction are mutually exclusive; (k) whenever the last day for the exercise of any privilege or the discharge of any duty hereunder shall fall upon a day that is not a Business Day, the party having such privilege or duty may exercise such privilege or discharge such duty on the next succeeding day that is a Business Day; (l) the headings contained in this Agreement are for convenience of reference only, shall not be deemed to be a part of this Agreement and shall not be referred to in connection with the construction or interpretation of this Agreement; (m) all references to “Dollars” or “$” are to United States Dollars, unless expressly stated otherwise; (n) unless stated otherwise, “Section” followed by a number or letter mean and refer to the specified Section of this Agreement; (o)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 (p) any reference in this Agreement to a date or time shall be deemed to be such date or time in New York City, United States, unless otherwise specified; (q) the parties hereto have participated jointly in the negotiation and drafting of this Agreement; and (r)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t xml:space="preserve"> </w:t>
        <w:br/>
        <w:br/>
      </w:r>
      <w:r>
        <w:rPr>
          <w:rFonts w:ascii="Times New Roman" w:hAnsi="Times New Roman"/>
          <w:b/>
          <w:caps w:val="false"/>
          <w:smallCaps w:val="false"/>
          <w:sz w:val="20"/>
        </w:rPr>
        <w:t>CONTINGENT VALUE RIGHTS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b/>
          <w:caps w:val="false"/>
          <w:smallCaps w:val="false"/>
          <w:sz w:val="20"/>
        </w:rPr>
        <w:t>Holders of CVRs; Appointment of Rights Agent.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CVRs represent the contractual rights of the Holders to receive CVR Payments pursuant to this Agreement. One CVR will be issued with respect to each share of Common Stock or, as to the Participating Warrants, each share of Common Stock into which such Participating Warrant is exercisable (in accordance with the terms of such warrants), held by the applicable Holder as of the close of business on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Company hereby appoints the Rights Agent to act as Rights Agent for the Company in accordance with the express terms and conditions set forth in this Agreement, and the Rights Agent hereby accepts such appointment, subject in all respects to the protections, rights, indemnities, limitations of liability and immunities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b/>
          <w:caps w:val="false"/>
          <w:smallCaps w:val="false"/>
          <w:sz w:val="20"/>
        </w:rPr>
        <w:t>Non-transferable</w:t>
      </w:r>
      <w:r>
        <w:rPr>
          <w:rFonts w:ascii="Times New Roman" w:hAnsi="Times New Roman"/>
          <w:caps w:val="false"/>
          <w:smallCaps w:val="false"/>
          <w:sz w:val="20"/>
        </w:rPr>
        <w:t xml:space="preserve">. The CVRs may not be sold, assigned, transferred, pledged, encumbered or in any other manner transferred or disposed of, in whole or in part, other than through a Permitted Transfer. Any attempted sale, assignment, transfer, pledge, encumbrance or disposition of a CVR that is not a Permitted Transfer shall be null and void </w:t>
      </w:r>
      <w:r>
        <w:rPr>
          <w:rFonts w:ascii="Times New Roman" w:hAnsi="Times New Roman"/>
          <w:i/>
          <w:caps w:val="false"/>
          <w:smallCaps w:val="false"/>
          <w:sz w:val="20"/>
        </w:rPr>
        <w:t>ab initio</w:t>
      </w:r>
      <w:r>
        <w:rPr>
          <w:rFonts w:ascii="Times New Roman" w:hAnsi="Times New Roman"/>
          <w:caps w:val="false"/>
          <w:smallCaps w:val="false"/>
          <w:sz w:val="20"/>
        </w:rPr>
        <w:t xml:space="preserve"> and of no force or effect. The CVRs will not be listed on any quotation system or traded on any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b/>
          <w:caps w:val="false"/>
          <w:smallCaps w:val="false"/>
          <w:sz w:val="20"/>
        </w:rPr>
        <w:t>No Certificate; Registration; Registration of Transfer; Change of Address.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The CVRs will be issued in book-entry form only and will not be evidenced by a certificate or other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Rights Agent shall create and maintain a register (the “</w:t>
      </w:r>
      <w:r>
        <w:rPr>
          <w:rFonts w:ascii="Times New Roman" w:hAnsi="Times New Roman"/>
          <w:b/>
          <w:i/>
          <w:caps w:val="false"/>
          <w:smallCaps w:val="false"/>
          <w:sz w:val="20"/>
        </w:rPr>
        <w:t>CVR Register</w:t>
      </w:r>
      <w:r>
        <w:rPr>
          <w:rFonts w:ascii="Times New Roman" w:hAnsi="Times New Roman"/>
          <w:caps w:val="false"/>
          <w:smallCaps w:val="false"/>
          <w:sz w:val="20"/>
        </w:rPr>
        <w:t xml:space="preserve">”) for the purpose of registering CVRs and Permitted Transfers and the CVR Register shall set forth the name and address of each Holder, the number of CVRs held by such Holder and the U.S. federal tax identification number for such Holder, in each case to the extent such information is provided to the Rights Agent by or on behalf of the Company, DTC, or the applicable Holder. The CVR Register will be created, and CVRs will be distributed, pursuant to written instructions to the Rights Agent from the Company, and the Company shall be solely responsible for the accuracy, completeness and timeliness of all Holder information, allocation information, payment instructions, tax information and other data furnished to the Rights Agent by or on behalf of the Company. The Rights Agent shall have no liability for any delay, misdelivery, failed payment, failed mailing or other consequence arising from inaccurate, incomplete, outdated or untimely information furnished to the Rights Agent by or on behalf of the Company, DTC, the Company's transfer agent or any Holder. The CVR Register will initially show one position for Cede &amp; Co. representing shares of Common Stock held by DTC on behalf of the street holders of the shares of Common Stock held by such holders as of immediately prior to the Record Date. The Rights Agent will have no responsibility whatsoever directly to the street name holders with respect to transfers of CVRs, and shall have no obligation to verify beneficial ownership, determine the identity of beneficial owners, reconcile positions held through DTC or any nominee, or supervise or monitor any distribution by DTC, any nominee, intermediary or other third party. With respect to any payments or issuances to be made under </w:t>
      </w:r>
      <w:r>
        <w:rPr>
          <w:rFonts w:ascii="Times New Roman" w:hAnsi="Times New Roman"/>
          <w:caps w:val="false"/>
          <w:smallCaps w:val="false"/>
          <w:sz w:val="20"/>
          <w:u w:val="single"/>
        </w:rPr>
        <w:t>Section 2.4</w:t>
      </w:r>
      <w:r>
        <w:rPr>
          <w:rFonts w:ascii="Times New Roman" w:hAnsi="Times New Roman"/>
          <w:caps w:val="false"/>
          <w:smallCaps w:val="false"/>
          <w:sz w:val="20"/>
        </w:rPr>
        <w:t xml:space="preserve"> below, the Rights Agent will accomplish the payment to any former street name holders of shares of Common Stock (including shares of Common Stock underlying Participating Warrants) by sending one lump-sum payment to DTC pursuant to the written instructions of the Company. The Rights Agent will have no responsibilities whatsoever with regard to the distribution of payments by DTC to such street name holders, and delivery of funds to DTC in accordance with the Company’s written instructions shall constitute full performance by the Rights Agent with respect to such funds, absent the Rights Agent’s willful misconduct, fraud, bad faith or gross negligence as determined in accordance with </w:t>
      </w:r>
      <w:r>
        <w:rPr>
          <w:rFonts w:ascii="Times New Roman" w:hAnsi="Times New Roman"/>
          <w:caps w:val="false"/>
          <w:smallCaps w:val="false"/>
          <w:sz w:val="20"/>
          <w:u w:val="single"/>
        </w:rPr>
        <w:t>Section 3.1(a)</w:t>
      </w:r>
      <w:r>
        <w:rPr>
          <w:rFonts w:ascii="Times New Roman" w:hAnsi="Times New Roman"/>
          <w:caps w:val="false"/>
          <w:smallCaps w:val="false"/>
          <w:sz w:val="20"/>
        </w:rPr>
        <w:t>. Upon receipt of a written request from the Company for a copy of the CVR Register, the Rights Agent shall promptly deliver a copy of the CVR Register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Subject to the restrictions on transferability set forth in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every request made to transfer a CVR must be made to the Rights Agent in writing and accompanied by a written instrument of transfer in form reasonably satisfactory to the Rights Agent pursuant to its guidelines, including a guaranty of signature by an “eligible guarantor institution” that is a member or participant in the Securities Transfer Agents Medallion Program, duly executed by the Holder thereof, the Holder’s attorney duly authorized in writing, the Holder’s personal representative or the Holder’s survivor, and setting forth in reasonable detail the circumstances relating to the transfer (or such alternative evidence of authorization and authenticity of signature as the Rights Agent may reasonably require, including a notarized signature or a guarantee from a bank or financial institution reasonably acceptable to the Rights Agent).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register the transfer of the CVRs in the CVR Register and notify the Company in writing of the same; </w:t>
      </w:r>
      <w:r>
        <w:rPr>
          <w:rFonts w:ascii="Times New Roman" w:hAnsi="Times New Roman"/>
          <w:caps w:val="false"/>
          <w:smallCaps w:val="false"/>
          <w:sz w:val="20"/>
          <w:u w:val="single"/>
        </w:rPr>
        <w:t>provided</w:t>
      </w:r>
      <w:r>
        <w:rPr>
          <w:rFonts w:ascii="Times New Roman" w:hAnsi="Times New Roman"/>
          <w:caps w:val="false"/>
          <w:smallCaps w:val="false"/>
          <w:sz w:val="20"/>
        </w:rPr>
        <w:t>, that the Rights Agent may refuse to register any transfer until it has received such documentation, evidence, certifications, tax forms, indemnity, legal opinion or Company instructions as the Rights Agent may reasonably request, and the Rights Agent shall have no liability for refusing to register any transfer that it reasonably determines is incomplete, unauthorized, not in proper form or otherwise not permitted under this Agreement.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shall be the valid obligations of the Company and shall entitle the transferee to the same benefits and rights under this Agreement as those held immediately prior to the transfer by the transferor. No transfer of a CVR shall be valid unless and until registered in the CVR Register, and any transfer not registered in the CVR Register will be void and invalid. All costs and expenses related to any transfer or assignment of the CVRs (including the cost of any transfer Tax) shall be the responsibility of the transferor.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A Holder may make a written request to the Rights Agent to change such Holder’s address of record in the CVR Register. The written request must be duly executed by the Holder. Upon receipt of such written notice, the Rights Agent shall, subject to its reasonable determination that the request is in proper form, promptly record the change of address in the CVR Register; </w:t>
      </w:r>
      <w:r>
        <w:rPr>
          <w:rFonts w:ascii="Times New Roman" w:hAnsi="Times New Roman"/>
          <w:caps w:val="false"/>
          <w:smallCaps w:val="false"/>
          <w:sz w:val="20"/>
          <w:u w:val="single"/>
        </w:rPr>
        <w:t>provided</w:t>
      </w:r>
      <w:r>
        <w:rPr>
          <w:rFonts w:ascii="Times New Roman" w:hAnsi="Times New Roman"/>
          <w:caps w:val="false"/>
          <w:smallCaps w:val="false"/>
          <w:sz w:val="20"/>
        </w:rPr>
        <w:t>, that the Rights Agent may rely on the address then reflected in the CVR Register until such change has been properly submitted and recorded. The Special Committee may make a written request to the Rights Agent for a list containing the names, addresses and number of CVRs of the Holders that are registered in the CVR Register. Upon receipt of such written request from the Special Committee, the Rights Agent shall promptly deliver a copy of such list to the Special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The Company will provide written instructions to the Rights Agent for the distribution of CVRs to holders of Common Stock (including shares of Common Stock underlying Participating Warrants) as of the Record Date, including the number of CVRs to be issued to each Holder and any applicable tax withholding instructions. Subject to the terms and conditions of this Agreement, the Rights Agent shall effect the distribution of the CVRs, less any applicable tax withholding as directed by the Company, to each Holder as of the Record Date by the mailing of a statement of holding reflecting such CVRs. The Rights Agent shall be entitled to rely conclusively on the Company’s written instructions and shall have no responsibility for determining the Record Date Holders, the number of CVRs distributable to any Person, or whether any Person is entitled to receive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2.4         </w:t>
      </w:r>
      <w:r>
        <w:rPr>
          <w:rFonts w:ascii="Times New Roman" w:hAnsi="Times New Roman"/>
          <w:b/>
          <w:caps w:val="false"/>
          <w:smallCaps w:val="false"/>
          <w:sz w:val="20"/>
        </w:rPr>
        <w:t>Payment Procedures.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If any Proceeds Event occurs, then, in each case, on a date (each, a “</w:t>
      </w:r>
      <w:r>
        <w:rPr>
          <w:rFonts w:ascii="Times New Roman" w:hAnsi="Times New Roman"/>
          <w:b/>
          <w:i/>
          <w:caps w:val="false"/>
          <w:smallCaps w:val="false"/>
          <w:sz w:val="20"/>
        </w:rPr>
        <w:t>CVR Payment Date</w:t>
      </w:r>
      <w:r>
        <w:rPr>
          <w:rFonts w:ascii="Times New Roman" w:hAnsi="Times New Roman"/>
          <w:caps w:val="false"/>
          <w:smallCaps w:val="false"/>
          <w:sz w:val="20"/>
        </w:rPr>
        <w:t>”) that is within sixty (60) days after the date on which the applicable Proceeds Event occurs (such sixty (60) day period, a “</w:t>
      </w:r>
      <w:r>
        <w:rPr>
          <w:rFonts w:ascii="Times New Roman" w:hAnsi="Times New Roman"/>
          <w:b/>
          <w:i/>
          <w:caps w:val="false"/>
          <w:smallCaps w:val="false"/>
          <w:sz w:val="20"/>
        </w:rPr>
        <w:t>CVR Notice Period</w:t>
      </w:r>
      <w:r>
        <w:rPr>
          <w:rFonts w:ascii="Times New Roman" w:hAnsi="Times New Roman"/>
          <w:caps w:val="false"/>
          <w:smallCaps w:val="false"/>
          <w:sz w:val="20"/>
        </w:rPr>
        <w:t>”), the Company will deliver to the Rights Agent (i) a notice (a “</w:t>
      </w:r>
      <w:r>
        <w:rPr>
          <w:rFonts w:ascii="Times New Roman" w:hAnsi="Times New Roman"/>
          <w:b/>
          <w:i/>
          <w:caps w:val="false"/>
          <w:smallCaps w:val="false"/>
          <w:sz w:val="20"/>
        </w:rPr>
        <w:t>Proceeds Event Notice</w:t>
      </w:r>
      <w:r>
        <w:rPr>
          <w:rFonts w:ascii="Times New Roman" w:hAnsi="Times New Roman"/>
          <w:caps w:val="false"/>
          <w:smallCaps w:val="false"/>
          <w:sz w:val="20"/>
        </w:rPr>
        <w:t xml:space="preserve">”) indicating the occurrence of such Proceeds Event and that the Holders are entitled to receive their pro rata portion of the applicable CVR Payment with respect to the applicable Proceeds Event, subject to the provisions of this Agreement, (ii) a written payment instruction file, in form and substance reasonably satisfactory to the Rights Agent, setting forth the CVR Payment Amount payable to each Holder, any applicable withholding instructions and such other information as the Rights Agent may reasonably require to effect the applicable payment, and (iii) cash in U.S. dollars in the aggregate amount equal to the amount of the applicable CVR Payment less any amounts the Company directs the Rights Agent in writing to withhold pursuant to </w:t>
      </w:r>
      <w:r>
        <w:rPr>
          <w:rFonts w:ascii="Times New Roman" w:hAnsi="Times New Roman"/>
          <w:caps w:val="false"/>
          <w:smallCaps w:val="false"/>
          <w:sz w:val="20"/>
          <w:u w:val="single"/>
        </w:rPr>
        <w:t>Section 2.4(b)</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if, following the occurrence of any given Proceeds Event, one or more other Proceeds Events occurs during the CVR Notice Period, then the Company may elect in its sole and absolute discretion to (A) extend the CVR Payment Date with respect to such first-occurring Proceeds Event for thirty (30) days beyond the end of the CVR Notice Period upon delivery of a Proceeds Event Notice (or supplement thereto) to the Rights Agent and (B) deliver to the Rights Agent cash in U.S. dollars in the aggregate amount equal to the amount of such first-occurring Proceeds Event and such other Proceeds Events that occurred during such CVR Notice Period. Such CVR Payment will be made by wire transfer of immediately available funds to an account designated in writing by the Rights Agent not less than five (5) Business Days prior to the date of the applicable payment. Upon receipt of the wire transfer referred to in the foregoing sentence, together with the Proceeds Event Notice and the written payment instruction file described above, the Rights Agent shall promptly (and in any event, within ten (10) Business Days) pay, by check mailed, first-class postage prepaid, to the address of each Holder set forth in the CVR Register at such time, an amount equal to such Holder’s pro rata portion of the applicable CVR Payment Amount(s), subject to any applicable withholding, stale-dated check, escheatment, unclaimed property or other administrative procedures customarily applied by the Rights Agent. The Rights Agent shall promptly, and in any event within ten (10) Business Days after receipt of a Proceeds Event Notice under this </w:t>
      </w:r>
      <w:r>
        <w:rPr>
          <w:rFonts w:ascii="Times New Roman" w:hAnsi="Times New Roman"/>
          <w:caps w:val="false"/>
          <w:smallCaps w:val="false"/>
          <w:sz w:val="20"/>
          <w:u w:val="single"/>
        </w:rPr>
        <w:t>Section 2.4(a)</w:t>
      </w:r>
      <w:r>
        <w:rPr>
          <w:rFonts w:ascii="Times New Roman" w:hAnsi="Times New Roman"/>
          <w:caps w:val="false"/>
          <w:smallCaps w:val="false"/>
          <w:sz w:val="20"/>
        </w:rPr>
        <w:t xml:space="preserve">, and any related Holder notice instructions reasonably requested by the Rights Agent, send each Holder at its registered address a copy of such Proceeds Event Notice. For the avoidance of doubt, the Company shall have no further liability in respect of the relevant CVR Payment upon delivery of such CVR Payment in accordance with this </w:t>
      </w:r>
      <w:r>
        <w:rPr>
          <w:rFonts w:ascii="Times New Roman" w:hAnsi="Times New Roman"/>
          <w:caps w:val="false"/>
          <w:smallCaps w:val="false"/>
          <w:sz w:val="20"/>
          <w:u w:val="single"/>
        </w:rPr>
        <w:t>Section 2.4(a)</w:t>
      </w:r>
      <w:r>
        <w:rPr>
          <w:rFonts w:ascii="Times New Roman" w:hAnsi="Times New Roman"/>
          <w:caps w:val="false"/>
          <w:smallCaps w:val="false"/>
          <w:sz w:val="20"/>
        </w:rPr>
        <w:t xml:space="preserve"> and the satisfaction of each of the Company’s obligations set forth in this </w:t>
      </w:r>
      <w:r>
        <w:rPr>
          <w:rFonts w:ascii="Times New Roman" w:hAnsi="Times New Roman"/>
          <w:caps w:val="false"/>
          <w:smallCaps w:val="false"/>
          <w:sz w:val="20"/>
          <w:u w:val="single"/>
        </w:rPr>
        <w:t>Section 2.4(a)</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nothing in this sentence shall limit the Company’s obligations to indemnify, reimburse and hold harmless the Rights Agent under this Agreement or otherwise shift to the Rights Agent any responsibility for the Company’s determination of the occurrence of any Proceeds Event, the amount of any CVR Payment, the allocation of any CVR Payment among Holders, or the adequacy of funds provided by the Company. Each CVR Payment Amount shall be paid only once, upon the first occurrence of the applicable Proceeds Event. If the Company fails to deliver any CVR Payment to the Rights Agent on or prior to the applicable CVR Payment Date, then, without limiting any other rights or remedies of the Holders, such unpaid amount shall accrue interest from (and including) the applicable CVR Payment Date to (but excluding) the date of payment at a rate per annum equal to the prime rate as published in </w:t>
      </w:r>
      <w:r>
        <w:rPr>
          <w:rFonts w:ascii="Times New Roman" w:hAnsi="Times New Roman"/>
          <w:i/>
          <w:caps w:val="false"/>
          <w:smallCaps w:val="false"/>
          <w:sz w:val="20"/>
        </w:rPr>
        <w:t>The Wall Street Journal</w:t>
      </w:r>
      <w:r>
        <w:rPr>
          <w:rFonts w:ascii="Times New Roman" w:hAnsi="Times New Roman"/>
          <w:caps w:val="false"/>
          <w:smallCaps w:val="false"/>
          <w:sz w:val="20"/>
        </w:rPr>
        <w:t xml:space="preserve"> from time to time plus two percent (2%), and the Company shall pay such accrued interest together with the overdue CVR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Company shall be entitled to deduct and withhold, or cause the Rights Agent to deduct and withhold, any tax or similar governmental charge or levy, that is required to be deducted or withheld under applicable law from any amounts distributable (including distributions of CVRs) or payable (including payments with respect to CVRs) pursuant to this Agreement (“</w:t>
      </w:r>
      <w:r>
        <w:rPr>
          <w:rFonts w:ascii="Times New Roman" w:hAnsi="Times New Roman"/>
          <w:b/>
          <w:i/>
          <w:caps w:val="false"/>
          <w:smallCaps w:val="false"/>
          <w:sz w:val="20"/>
        </w:rPr>
        <w:t>Withholding Taxes</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Company shall be responsible for determining whether any deduction or withholding is required, the amount of any such deduction or withholding, and the reporting and remittance obligations associated therewith, except to the extent the Rights Agent is expressly required by applicable Law to perform such reporting or remittance in its capacity as paying agent. To the extent the amounts are so withheld by the Company or the Rights Agent, as the case may be, and paid over to the appropriate Governmental Body, such withheld amounts shall be treated for all purposes of this Agreement as having been paid to the Person in respect of whom such deduction and withholding was made. The Rights Agent shall solicit from each Holder an IRS Form W-9 or applicable IRS Form W-8 before any such distribution is made to such Holder with respect to the CVR Payments, and at such other time as it reasonably determines, or as directed in writing by the Company, to permit any payment under this Agreement to be made without U.S. federal backup withholding;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Rights Agent shall have no obligation to determine the validity or accuracy of any IRS Form W-9, IRS Form W-8 or other tax form beyond its customary review procedures, and may withhold in accordance with applicable Law or the Company’s written instructions if a Holder fails to provide a properly completed form. In the event the Company becomes aware that a payment under this Agreement is subject to Withholding Taxes (other than U.S. federal backup withholding), the Company shall use commercially reasonable efforts to provide written notice to the Rights Agent and the Rights Agent shall use commercially reasonable efforts to provide written notice of such Withholding Taxes to the applicable Holders in each case based on information supplied by the Company. For the avoidance of doubt, in the event that notice has been provided to an applicable Holder pursuant to this </w:t>
      </w:r>
      <w:r>
        <w:rPr>
          <w:rFonts w:ascii="Times New Roman" w:hAnsi="Times New Roman"/>
          <w:caps w:val="false"/>
          <w:smallCaps w:val="false"/>
          <w:sz w:val="20"/>
          <w:u w:val="single"/>
        </w:rPr>
        <w:t>Section 2.4(b)</w:t>
      </w:r>
      <w:r>
        <w:rPr>
          <w:rFonts w:ascii="Times New Roman" w:hAnsi="Times New Roman"/>
          <w:caps w:val="false"/>
          <w:smallCaps w:val="false"/>
          <w:sz w:val="20"/>
        </w:rPr>
        <w:t>, no further notice shall be required to be given for any future payments of such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2.5         </w:t>
      </w:r>
      <w:r>
        <w:rPr>
          <w:rFonts w:ascii="Times New Roman" w:hAnsi="Times New Roman"/>
          <w:b/>
          <w:caps w:val="false"/>
          <w:smallCaps w:val="false"/>
          <w:sz w:val="20"/>
        </w:rPr>
        <w:t>No Voting, Dividends or Interest; No Equity or Ownership Interest.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The CVRs will not have any voting or dividend rights, and, except as expressly provided in </w:t>
      </w:r>
      <w:r>
        <w:rPr>
          <w:rFonts w:ascii="Times New Roman" w:hAnsi="Times New Roman"/>
          <w:caps w:val="false"/>
          <w:smallCaps w:val="false"/>
          <w:sz w:val="20"/>
          <w:u w:val="single"/>
        </w:rPr>
        <w:t>Section 2.4(a)</w:t>
      </w:r>
      <w:r>
        <w:rPr>
          <w:rFonts w:ascii="Times New Roman" w:hAnsi="Times New Roman"/>
          <w:caps w:val="false"/>
          <w:smallCaps w:val="false"/>
          <w:sz w:val="20"/>
        </w:rPr>
        <w:t>, interest will not accrue on the CVRs or any amounts payable in respect of CVRs to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CVRs will not represent any equity or ownership interest in the Company or in any constituent company to the Asset Sale or the Investment Transaction. It is hereby acknowledged and agreed that a CVR shall not constitute a security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Nothing contained in this Agreement shall be construed as conferring upon any Holder, by virtue of the CVRs,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possible that no Proceeds Event will be achieved. It is further acknowledged and agreed that neither the Company nor its Affiliates owe, by virtue of their obligations under this Agreement, a fiduciary duty or any implied duties to the Holders and the parties hereto, and the Company and its Affiliates intend solely the express provisions of this Agreement to govern their contractual relationship with respect to the CVRs. It is acknowledged and agreed that this </w:t>
      </w:r>
      <w:r>
        <w:rPr>
          <w:rFonts w:ascii="Times New Roman" w:hAnsi="Times New Roman"/>
          <w:caps w:val="false"/>
          <w:smallCaps w:val="false"/>
          <w:sz w:val="20"/>
          <w:u w:val="single"/>
        </w:rPr>
        <w:t>Section 2.5(d)</w:t>
      </w:r>
      <w:r>
        <w:rPr>
          <w:rFonts w:ascii="Times New Roman" w:hAnsi="Times New Roman"/>
          <w:caps w:val="false"/>
          <w:smallCaps w:val="false"/>
          <w:sz w:val="20"/>
        </w:rPr>
        <w:t xml:space="preserve"> is an essential and material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2.6         </w:t>
      </w:r>
      <w:r>
        <w:rPr>
          <w:rFonts w:ascii="Times New Roman" w:hAnsi="Times New Roman"/>
          <w:b/>
          <w:caps w:val="false"/>
          <w:smallCaps w:val="false"/>
          <w:sz w:val="20"/>
        </w:rPr>
        <w:t>Ability to Abandon CVR</w:t>
      </w:r>
      <w:r>
        <w:rPr>
          <w:rFonts w:ascii="Times New Roman" w:hAnsi="Times New Roman"/>
          <w:caps w:val="false"/>
          <w:smallCaps w:val="false"/>
          <w:sz w:val="20"/>
        </w:rPr>
        <w:t>. A Holder may at any time, at such Holder’s option, abandon all of such Holder’s remaining rights represented by CVRs by transferring such CVRs to the Company or a Person nominated in writing by the Company (with written notice thereof from the Company to the Rights Agent) without consideration in compensation therefor, and such rights will be cancelled, with the Rights Agent being promptly notified in writing by the Holder of such transfer and cancellation. Nothing in this Agreement is intended to prohibit the Company or its Affiliates from offering to acquire or acquiring CVRs, in private transactions or otherwise, for consideration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3.</w:t>
      </w:r>
      <w:r>
        <w:rPr>
          <w:rFonts w:ascii="Times New Roman" w:hAnsi="Times New Roman"/>
          <w:caps w:val="false"/>
          <w:smallCaps w:val="false"/>
          <w:sz w:val="20"/>
        </w:rPr>
        <w:t xml:space="preserve"> </w:t>
        <w:b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THE RIGHTS AGENT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3.1          </w:t>
      </w:r>
      <w:r>
        <w:rPr>
          <w:rFonts w:ascii="Times New Roman" w:hAnsi="Times New Roman"/>
          <w:b/>
          <w:caps w:val="false"/>
          <w:smallCaps w:val="false"/>
          <w:sz w:val="20"/>
        </w:rPr>
        <w:t>Certain Duties and Responsibilities.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Rights Agent will not have any liability for any actions taken or not taken in connection with this Agreement, except to the extent such liability arises as a result of the willful misconduct, fraud, bad faith or gross negligence of the Rights Agent (in each case as determined by a final non-appealable judgment of a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In no event shall the Rights Agent be liable for any special, indirect, incidental, consequential, exemplary, punitive or lost-profit damages of any kind whatsoever, regardless of whether such damages were foreseeable or whether the Rights Agent has been advised of the possibility of such damages. The Rights Agent shall not be liable for any error of judgment made in good faith by an officer, employee or agent of the Rights Agent unless such error constitutes gross negligence, bad faith, fraud or willful misconduct as determined by a final, non-appealable judgment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 </w:t>
      </w:r>
      <w:r>
        <w:rPr>
          <w:rFonts w:ascii="Times New Roman" w:hAnsi="Times New Roman"/>
          <w:caps w:val="false"/>
          <w:smallCaps w:val="false"/>
          <w:sz w:val="20"/>
          <w:u w:val="single"/>
        </w:rPr>
        <w:t>provided</w:t>
      </w:r>
      <w:r>
        <w:rPr>
          <w:rFonts w:ascii="Times New Roman" w:hAnsi="Times New Roman"/>
          <w:caps w:val="false"/>
          <w:smallCaps w:val="false"/>
          <w:sz w:val="20"/>
        </w:rPr>
        <w:t>, that the Rights Agent shall not be required to take any such action unless it has received indemnity, security and funding satisfactory to it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3.2         </w:t>
      </w:r>
      <w:r>
        <w:rPr>
          <w:rFonts w:ascii="Times New Roman" w:hAnsi="Times New Roman"/>
          <w:b/>
          <w:caps w:val="false"/>
          <w:smallCaps w:val="false"/>
          <w:sz w:val="20"/>
        </w:rPr>
        <w:t>Certain Rights of Rights Agent.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Rights Agent undertakes to perform such duties and only such duties as are specifically set forth in this Agreement, and no implied covenants or obligations will be read into this Agreement against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Rights Agent may rely and will be protected by the Company in acting or refraining from acting upon any resolution, certificate, statement, instrument, opinion, report, notice, request, direction, consent, order or other paper or document in good faith believed by it to be genuine and to have been signed or presented by or on behalf of the Company, the Special Committee, any Holder, DTC, any nominee, any transfer agent or any other Person reasonably believed by the Rights Agent to be authorized to provide such item. The Rights Agent shall have no duty to investigate or verify the truth, accuracy or completeness of any such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The Rights Agent may engage and consult with counsel of its selection, and the advice or opinion of such counsel will, in the absence of bad faith, fraud,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Any permissive rights of the Rights Agent hereunder will not be construed as a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The Rights Agent will not be required to give any note or surety in respect of the execution of its powers or otherwise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The Company agrees to indemnify the Rights Agent, and its Affiliates and each of their respective directors, officers, managers, employees, agents, successors and assigns, for, and to hold the Rights Agent and each such Person harmless from and against, any loss, liability, damage, judgment, fine, penalty, cost or expense (each, a “</w:t>
      </w:r>
      <w:r>
        <w:rPr>
          <w:rFonts w:ascii="Times New Roman" w:hAnsi="Times New Roman"/>
          <w:b/>
          <w:i/>
          <w:caps w:val="false"/>
          <w:smallCaps w:val="false"/>
          <w:sz w:val="20"/>
        </w:rPr>
        <w:t>Loss</w:t>
      </w:r>
      <w:r>
        <w:rPr>
          <w:rFonts w:ascii="Times New Roman" w:hAnsi="Times New Roman"/>
          <w:caps w:val="false"/>
          <w:smallCaps w:val="false"/>
          <w:sz w:val="20"/>
        </w:rPr>
        <w:t xml:space="preserve">”) suffered or incurred by the Rights Agent or any such Person and arising out of or in connection with the Rights Agent’s performance of its obligations under this Agreement, including the actual, reasonable and documented costs and expenses of defending the Rights Agent or any such Person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fraud or willful misconduct;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this </w:t>
      </w:r>
      <w:r>
        <w:rPr>
          <w:rFonts w:ascii="Times New Roman" w:hAnsi="Times New Roman"/>
          <w:caps w:val="false"/>
          <w:smallCaps w:val="false"/>
          <w:sz w:val="20"/>
          <w:u w:val="single"/>
        </w:rPr>
        <w:t>Section 3.2(f)</w:t>
      </w:r>
      <w:r>
        <w:rPr>
          <w:rFonts w:ascii="Times New Roman" w:hAnsi="Times New Roman"/>
          <w:caps w:val="false"/>
          <w:smallCaps w:val="false"/>
          <w:sz w:val="20"/>
        </w:rPr>
        <w:t xml:space="preserve"> shall not apply with respect to income, receipt, franchise or similar Taxes imposed on the Rights Agent with respect to compensation received by the Rights Agent for its services hereunder. The Company’s indemnification obligations shall include Losses arising from or relating to the Company’s failure to provide accurate, complete or timely instructions, funds, tax information, Holder information or other information required for the Rights Agent to perform its duties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The Company agrees (i) to pay the fees of the Rights Agent in connection with the Rights Agent’s performance of its obligations hereunder, as agreed upon in writing by the Rights Agent and the Company on or prior to the date of this Agreement, and (ii) to reimburse the Rights Agent for all actual,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 w:hAnsi="Times New Roman"/>
          <w:caps w:val="false"/>
          <w:smallCaps w:val="false"/>
          <w:sz w:val="20"/>
          <w:u w:val="single"/>
        </w:rPr>
        <w:t>Section 2.4(a)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3.2(g)</w:t>
      </w:r>
      <w:r>
        <w:rPr>
          <w:rFonts w:ascii="Times New Roman" w:hAnsi="Times New Roman"/>
          <w:caps w:val="false"/>
          <w:smallCaps w:val="false"/>
          <w:sz w:val="20"/>
        </w:rPr>
        <w:t>, if the Company is found by a court of competent jurisdiction to be liable to the Rights Agent or the Holders, as applicable in such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The Rights Agent shall not be subject to, nor be required to comply with, or determine if any Person has complied with, the APA, the SPA, or any other agreement between or among any of the Company or the Holders, even though reference thereto may be made in this Agreement, or to comply with any notice, instruction, direction, request or other communication, paper or document other than as expressly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In the event the Rights Agent reasonably believes any ambiguity or uncertainty exists hereunder or in any notice, instruction, direction, request or other communication, paper or document received by the Rights Agent hereunder, the Rights Agent shall, as soon as practicable, provide written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(m)         The obligations of the Company and the rights of the Rights Agent under this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2.4</w:t>
      </w:r>
      <w:r>
        <w:rPr>
          <w:rFonts w:ascii="Times New Roman" w:hAnsi="Times New Roman"/>
          <w:caps w:val="false"/>
          <w:smallCaps w:val="false"/>
          <w:sz w:val="20"/>
        </w:rPr>
        <w:t xml:space="preserve"> shall survive the expiration of the CVRs and the termination of this Agreement and the resignation, replacement or removal of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The Rights Agent shall not be responsible for and shall have no liability with respect to the validity, value, ranking, enforceability or transferability of any CVR, the validity or effectiveness of this Agreement, the occurrence or non-occurrence of any Proceeds Event, the amount of any Proceeds, CVR Payment or CVR Payment Amount, the sufficiency of funds provided by the Company, or any calculation, allocation, determination or certification made by the Company or the Special Committee under this Agreement. The Rights Agent shall have no responsibility for determining whether a Proceeds Event has occurred or whether any amount has become payable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         The Rights Agent shall not be obligated to risk or advance its own funds in connection with any payment hereunder. The Rights Agent shall have no responsibility to invest or pay interest on any funds received by it under this Agreement, except to the extent expressly agreed in writing by the Rights Agent. Funds held by the Rights Agent hereunder need not be segregated from other funds except to the extent required by applicable Law or the Rights Agent’s customary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         The Rights Agent shall not be liable for any action taken, suffered or omitted to be taken in accordance with the written direction, instruction, certificate or determination of the Company or the Special Committee, including any instruction relating to the payment, withholding, allocation or distribution of CVR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(q)         The Rights Agent may perform any of its duties through agents, attorneys, custodians, nominees or other representatives and shall not be responsible for the misconduct or negligence of any such Person appointed with reasonable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         The Rights Agent shall be entitled to rely conclusively upon any written tax instructions, determinations, certifications or advice furnished by the Company or its tax advisors and shall have no liability for any withholding, reporting or tax determination made in accordance therewith. The Rights Agent shall not be responsible for determining the tax treatment of any payment made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         The Rights Agent shall have no liability for any act, omission, insolvency, failure or delay of DTC, any nominee of DTC, any broker, bank, custodian or other securities intermediary, including the failure of any such Person to properly allocate or distribute amounts paid by the Rights Agent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         If conflicting demands, claims or instructions are made with respect to any CVR, CVR Payment or other matter arising under this Agreement, the Rights Agent may refrain from taking any action until such conflict is resolved to its reasonable satisfaction or by a final order of a court of competent jurisdiction, and may commence or participate in an interpleader action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3.3         </w:t>
      </w:r>
      <w:r>
        <w:rPr>
          <w:rFonts w:ascii="Times New Roman" w:hAnsi="Times New Roman"/>
          <w:b/>
          <w:caps w:val="false"/>
          <w:smallCaps w:val="false"/>
          <w:sz w:val="20"/>
        </w:rPr>
        <w:t>Resignation and Removal; Appointment of Successor.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Company, acting solely through the Special Committee and its agents and representatives,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at the expense of the Company. The successor Rights Agent so appointed will, upon its acceptance of such appointment in accordance with this </w:t>
      </w:r>
      <w:r>
        <w:rPr>
          <w:rFonts w:ascii="Times New Roman" w:hAnsi="Times New Roman"/>
          <w:caps w:val="false"/>
          <w:smallCaps w:val="false"/>
          <w:sz w:val="20"/>
          <w:u w:val="single"/>
        </w:rPr>
        <w:t>Section 3.3(c)</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3.4</w:t>
      </w:r>
      <w:r>
        <w:rPr>
          <w:rFonts w:ascii="Times New Roman" w:hAnsi="Times New Roman"/>
          <w:caps w:val="false"/>
          <w:smallCaps w:val="false"/>
          <w:sz w:val="20"/>
        </w:rPr>
        <w:t>, become the Rights Agent for all purposes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The Company will give notice to the Holders of each resignation or removal of the Rights Agent and each appointment of a successor Rights Agent in accordance with </w:t>
      </w:r>
      <w:r>
        <w:rPr>
          <w:rFonts w:ascii="Times New Roman" w:hAnsi="Times New Roman"/>
          <w:caps w:val="false"/>
          <w:smallCaps w:val="false"/>
          <w:sz w:val="20"/>
          <w:u w:val="single"/>
        </w:rPr>
        <w:t>Section 7.2</w:t>
      </w:r>
      <w:r>
        <w:rPr>
          <w:rFonts w:ascii="Times New Roman" w:hAnsi="Times New Roman"/>
          <w:caps w:val="false"/>
          <w:smallCaps w:val="false"/>
          <w:sz w:val="20"/>
        </w:rPr>
        <w:t>.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Notwithstanding anything to the contrary in this </w:t>
      </w:r>
      <w:r>
        <w:rPr>
          <w:rFonts w:ascii="Times New Roman" w:hAnsi="Times New Roman"/>
          <w:caps w:val="false"/>
          <w:smallCaps w:val="false"/>
          <w:sz w:val="20"/>
          <w:u w:val="single"/>
        </w:rPr>
        <w:t>Section 3.3</w:t>
      </w:r>
      <w:r>
        <w:rPr>
          <w:rFonts w:ascii="Times New Roman" w:hAnsi="Times New Roman"/>
          <w:caps w:val="false"/>
          <w:smallCaps w:val="false"/>
          <w:sz w:val="20"/>
        </w:rPr>
        <w:t>, unless consented to in writing by the Special Committee, the Company will not appoint as a successor Rights Agent any Person that is not a stock transfer agent of national reputation or the corporate trust department of a commercial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 and such cooperation shall be subject to the payment of the Rights Agent’s fees and expenses and the continuing protections, indemnities and limitations of liability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3.4         </w:t>
      </w:r>
      <w:r>
        <w:rPr>
          <w:rFonts w:ascii="Times New Roman" w:hAnsi="Times New Roman"/>
          <w:b/>
          <w:caps w:val="false"/>
          <w:smallCaps w:val="false"/>
          <w:sz w:val="20"/>
        </w:rPr>
        <w:t>Acceptance of Appointment by Successor.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4.</w:t>
      </w:r>
      <w:r>
        <w:rPr>
          <w:rFonts w:ascii="Times New Roman" w:hAnsi="Times New Roman"/>
          <w:caps w:val="false"/>
          <w:smallCaps w:val="false"/>
          <w:sz w:val="20"/>
        </w:rPr>
        <w:t xml:space="preserve"> </w:t>
        <w:br/>
        <w:br/>
      </w:r>
      <w:r>
        <w:rPr>
          <w:rFonts w:ascii="Times New Roman" w:hAnsi="Times New Roman"/>
          <w:b/>
          <w:caps w:val="false"/>
          <w:smallCaps w:val="false"/>
          <w:sz w:val="20"/>
        </w:rPr>
        <w:t>COVENANTS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4.1          </w:t>
      </w:r>
      <w:r>
        <w:rPr>
          <w:rFonts w:ascii="Times New Roman" w:hAnsi="Times New Roman"/>
          <w:b/>
          <w:caps w:val="false"/>
          <w:smallCaps w:val="false"/>
          <w:sz w:val="20"/>
        </w:rPr>
        <w:t>List of Holders</w:t>
      </w:r>
      <w:r>
        <w:rPr>
          <w:rFonts w:ascii="Times New Roman" w:hAnsi="Times New Roman"/>
          <w:caps w:val="false"/>
          <w:smallCaps w:val="false"/>
          <w:sz w:val="20"/>
        </w:rPr>
        <w:t>. 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4.2          </w:t>
      </w:r>
      <w:r>
        <w:rPr>
          <w:rFonts w:ascii="Times New Roman" w:hAnsi="Times New Roman"/>
          <w:b/>
          <w:caps w:val="false"/>
          <w:smallCaps w:val="false"/>
          <w:sz w:val="20"/>
        </w:rPr>
        <w:t>Special Committee.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To the fullest extent permitted by law, the Special Committee and the Company’s Board of Directors shall not owe fiduciary duties to the Holders (in their capacity as such) and shall not have any liability to the Holders for any actions taken or not taken in connection with the matters set forth herein. No provision of this Agreement shall require the Special Committee or any members thereof to expend or risk its, his or her own funds or otherwise incur any financial liability in the performance of any duties hereunder or in the exercise of any rights or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Holders shall be intended third-party beneficiaries of the provisions of this Agreement and shall be entitled to specifically enforce the terms 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notwithstanding anything to the contrary herein, under no circumstances shall the rights of Holders as third-party beneficiaries pursuant to this </w:t>
      </w:r>
      <w:r>
        <w:rPr>
          <w:rFonts w:ascii="Times New Roman" w:hAnsi="Times New Roman"/>
          <w:caps w:val="false"/>
          <w:smallCaps w:val="false"/>
          <w:sz w:val="20"/>
          <w:u w:val="single"/>
        </w:rPr>
        <w:t>Section 4</w:t>
      </w:r>
      <w:r>
        <w:rPr>
          <w:rFonts w:ascii="Times New Roman" w:hAnsi="Times New Roman"/>
          <w:caps w:val="false"/>
          <w:smallCaps w:val="false"/>
          <w:sz w:val="20"/>
        </w:rPr>
        <w:t xml:space="preserve"> be enforceable by such Holders or any other Person acting for or on their behalf other than the Special Committee. Notwithstanding anything to the contrary herein, the Special Committee has the sole power and authority to act on behalf of the Company and the Holders in enforcing any of their respective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To the fullest extent permitted by law, none of the Company, any of its Subsidiaries, or the Special Committee shall have any obligation or liability whatsoever to any Person relating to or in connection with any action, or failure to take any action, by the Company or any of its Affiliates in respect of the achievement (or attempt to achieve) any of the Proceeds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Special Committee may designate agents or representatives to act on behalf of the Special Committee with respect to its rights and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If any member(s) of the Special Committee dies, resigns, or becomes disabled or otherwise unable to fulfill their respective responsibilities hereunder, the remaining member(s) of the Special Committee shall deliver written notice to the Rights Agent regarding the appointment or designation of any successor member of the Special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4.3          </w:t>
      </w:r>
      <w:r>
        <w:rPr>
          <w:rFonts w:ascii="Times New Roman" w:hAnsi="Times New Roman"/>
          <w:b/>
          <w:caps w:val="false"/>
          <w:smallCaps w:val="false"/>
          <w:sz w:val="20"/>
        </w:rPr>
        <w:t>Books and Records</w:t>
      </w:r>
      <w:r>
        <w:rPr>
          <w:rFonts w:ascii="Times New Roman" w:hAnsi="Times New Roman"/>
          <w:caps w:val="false"/>
          <w:smallCaps w:val="false"/>
          <w:sz w:val="20"/>
        </w:rPr>
        <w:t>. During the term of this Agreement, the Company shall, and shall cause its Affiliates to, keep true, complete and accurate records in sufficient detail to enable the Rights Agent to confirm each CVR Payment payable hereunder in accordance with the terms specified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4.4          </w:t>
      </w:r>
      <w:r>
        <w:rPr>
          <w:rFonts w:ascii="Times New Roman" w:hAnsi="Times New Roman"/>
          <w:b/>
          <w:caps w:val="false"/>
          <w:smallCaps w:val="false"/>
          <w:sz w:val="20"/>
        </w:rPr>
        <w:t>Audits</w:t>
      </w:r>
      <w:r>
        <w:rPr>
          <w:rFonts w:ascii="Times New Roman" w:hAnsi="Times New Roman"/>
          <w:caps w:val="false"/>
          <w:smallCaps w:val="false"/>
          <w:sz w:val="20"/>
        </w:rPr>
        <w:t xml:space="preserve">. Until the expiration of this Agreement and for a period of one (1) year thereafter, the Company shall keep complete and accurate records in sufficient detail to permit the Rights Agent to confirm the accuracy of the payments due hereunder. The Rights Agent and the Special Committee shall each have the right to cause an independent accounting firm reasonably acceptable to the Company to audit such records for the sole purpose of confirming payments of any CVR Payment Amounts during the term of this Agreement. The Company may require such accounting firm to execute a reasonable confidentiality agreement with the Company prior to commencing the audit. The accounting firm shall disclose to the Rights Agent or the Special Committee, as applicable, only whether the reports are correct or not and the specific details concerning any discrepancies. No other information shall be shared. Such audits may be conducted during normal business hours upon reasonable prior written notice to the Company, but no more frequently than once per year. No accounting period of the Company shall be subject to audit more than one time by the Rights Agent or the Special Committee, as applicable, unless after an accounting period has been audited by the Rights Agent or the Special Committee, as applicable, the Company restates its financial results for such accounting period, in which event the Rights Agent or the Special Committee, as applicable, may conduct a second audit of such accounting period in accordance with this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Adjustments (including remittances of underpayments or overpayments disclosed by such audit) shall be made by the Parties to reflect the results of such audit, which adjustments shall be paid promptly following receipt of an invoice therefor; </w:t>
      </w:r>
      <w:r>
        <w:rPr>
          <w:rFonts w:ascii="Times New Roman" w:hAnsi="Times New Roman"/>
          <w:caps w:val="false"/>
          <w:smallCaps w:val="false"/>
          <w:sz w:val="20"/>
          <w:u w:val="single"/>
        </w:rPr>
        <w:t>provided</w:t>
      </w:r>
      <w:r>
        <w:rPr>
          <w:rFonts w:ascii="Times New Roman" w:hAnsi="Times New Roman"/>
          <w:caps w:val="false"/>
          <w:smallCaps w:val="false"/>
          <w:sz w:val="20"/>
        </w:rPr>
        <w:t>, that the Rights Agent shall have no obligation to pay or reimburse any overpayment from its own funds and shall be responsible only for distributing funds actually received from the Company for such purpose in accordance with written instructions from the Company. The Rights Agent or the Special Committee, as applicable, shall bear the full cost and expense of such audit unless such audit discloses an underpayment by the Company of five percent (5%) or more of the CVR Payments due under this Agreement for the audited period, in which case the Company shall bear the full cost and expense of such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4.5          </w:t>
      </w:r>
      <w:r>
        <w:rPr>
          <w:rFonts w:ascii="Times New Roman" w:hAnsi="Times New Roman"/>
          <w:b/>
          <w:caps w:val="false"/>
          <w:smallCaps w:val="false"/>
          <w:sz w:val="20"/>
        </w:rPr>
        <w:t>Tax Reporting</w:t>
      </w:r>
      <w:r>
        <w:rPr>
          <w:rFonts w:ascii="Times New Roman" w:hAnsi="Times New Roman"/>
          <w:caps w:val="false"/>
          <w:smallCaps w:val="false"/>
          <w:sz w:val="20"/>
        </w:rPr>
        <w:t>. The Rights Agent shall comply with all applicable Laws regarding Tax reporting with respect to any CVR Payment Amounts paid to Holders pursuant to this Agreement and based on information provided to the Rights Agent by the Company or the applicable Holder. The Company shall provide the Rights Agent with such information and written instructions as the Rights Agent reasonably requests to comply with such reporting obligations.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5.</w:t>
      </w:r>
      <w:r>
        <w:rPr>
          <w:rFonts w:ascii="Times New Roman" w:hAnsi="Times New Roman"/>
          <w:caps w:val="false"/>
          <w:smallCaps w:val="false"/>
          <w:sz w:val="20"/>
        </w:rPr>
        <w:t xml:space="preserve"> </w:t>
        <w:br/>
        <w:br/>
      </w:r>
      <w:r>
        <w:rPr>
          <w:rFonts w:ascii="Times New Roman" w:hAnsi="Times New Roman"/>
          <w:b/>
          <w:caps w:val="false"/>
          <w:smallCaps w:val="false"/>
          <w:sz w:val="20"/>
        </w:rPr>
        <w:t>AMENDMENTS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5.1         </w:t>
      </w:r>
      <w:r>
        <w:rPr>
          <w:rFonts w:ascii="Times New Roman" w:hAnsi="Times New Roman"/>
          <w:b/>
          <w:caps w:val="false"/>
          <w:smallCaps w:val="false"/>
          <w:sz w:val="20"/>
        </w:rPr>
        <w:t>Amendments.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Company, at any time and from time to time, may, with the consent of the Special Committee and the Rights Agent (such consent of the Rights Agent not to be unreasonably withheld, conditioned or delayed), but without the consent of any other Person (including any Holder in such capacity), enter into one or more amendments to this Agreement for any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to evidence the appointment of another Person as a successor Rights Agent and the assumption by any successor Rights Agent of the covenants and obligations of the Rights Agent herein in accordance with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(ii)         subject to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to evidence the succession of another person to the Company and the assumption of any such successor of the covenants of the Company outlined herein in a transaction contemplated by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(iii)         to add to the covenants of the Company such further covenants, restrictions, conditions or provisions as the Company and the Rights Agent will consider to be for the protection and benefit of the Holders;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each case, such provisions do not adversely affect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each case, such provisions do not adversely affect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(v)         as may be necessary or appropriate to ensure that the CVRs are not subject to registration under the Securities Act or the Exchange Act and the rules and regulations promulgated thereunder, or any applicable state securities or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(vi)        as may be necessary or appropriate to ensure that the Company is not required to produce a prospectus or an admission document in order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(vii)      to cancel the applicable CVRs solely (A) in the event that any Holder has abandoned its rights in accordance with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or (B) following a transfer of such CVRs to the Company or its Affiliates in accordance with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(viii)     as may be necessary or appropriate to ensure that the Company complies with applicable Law;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(ix)      to effect any other amendment to this Agreement for the purpose of adding, eliminating or changing any provisions of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each case, such additions, eliminations or changes do not adversely affect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Promptly after the execution by the Company of any amendment pursuant to this </w:t>
      </w:r>
      <w:r>
        <w:rPr>
          <w:rFonts w:ascii="Times New Roman" w:hAnsi="Times New Roman"/>
          <w:caps w:val="false"/>
          <w:smallCaps w:val="false"/>
          <w:sz w:val="20"/>
          <w:u w:val="single"/>
        </w:rPr>
        <w:t>Section 5.1</w:t>
      </w:r>
      <w:r>
        <w:rPr>
          <w:rFonts w:ascii="Times New Roman" w:hAnsi="Times New Roman"/>
          <w:caps w:val="false"/>
          <w:smallCaps w:val="false"/>
          <w:sz w:val="20"/>
        </w:rPr>
        <w:t xml:space="preserve">, the Company will (or will cause the Rights Agent to) notify the Holders in general terms of the substance of such amendment in accordance with </w:t>
      </w:r>
      <w:r>
        <w:rPr>
          <w:rFonts w:ascii="Times New Roman" w:hAnsi="Times New Roman"/>
          <w:caps w:val="false"/>
          <w:smallCaps w:val="false"/>
          <w:sz w:val="20"/>
          <w:u w:val="single"/>
        </w:rPr>
        <w:t>Section 7.2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Promptly after the execution by the Company and the Rights Agent of any amendment pursuant to the provisions of this </w:t>
      </w:r>
      <w:r>
        <w:rPr>
          <w:rFonts w:ascii="Times New Roman" w:hAnsi="Times New Roman"/>
          <w:caps w:val="false"/>
          <w:smallCaps w:val="false"/>
          <w:sz w:val="20"/>
          <w:u w:val="single"/>
        </w:rPr>
        <w:t>Section 5.1</w:t>
      </w:r>
      <w:r>
        <w:rPr>
          <w:rFonts w:ascii="Times New Roman" w:hAnsi="Times New Roman"/>
          <w:caps w:val="false"/>
          <w:smallCaps w:val="false"/>
          <w:sz w:val="20"/>
        </w:rPr>
        <w:t xml:space="preserve">, the Company will (or will cause the Rights Agent to) notify the Holders in general terms of the substance of such amendment in accordance with </w:t>
      </w:r>
      <w:r>
        <w:rPr>
          <w:rFonts w:ascii="Times New Roman" w:hAnsi="Times New Roman"/>
          <w:caps w:val="false"/>
          <w:smallCaps w:val="false"/>
          <w:sz w:val="20"/>
          <w:u w:val="single"/>
        </w:rPr>
        <w:t>Section 7.2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5.2         </w:t>
      </w:r>
      <w:r>
        <w:rPr>
          <w:rFonts w:ascii="Times New Roman" w:hAnsi="Times New Roman"/>
          <w:b/>
          <w:caps w:val="false"/>
          <w:smallCaps w:val="false"/>
          <w:sz w:val="20"/>
        </w:rPr>
        <w:t>Effect of Amendments</w:t>
      </w:r>
      <w:r>
        <w:rPr>
          <w:rFonts w:ascii="Times New Roman" w:hAnsi="Times New Roman"/>
          <w:caps w:val="false"/>
          <w:smallCaps w:val="false"/>
          <w:sz w:val="20"/>
        </w:rPr>
        <w:t xml:space="preserve">. Upon the execution of any amendment under this </w:t>
      </w:r>
      <w:r>
        <w:rPr>
          <w:rFonts w:ascii="Times New Roman" w:hAnsi="Times New Roman"/>
          <w:caps w:val="false"/>
          <w:smallCaps w:val="false"/>
          <w:sz w:val="20"/>
          <w:u w:val="single"/>
        </w:rPr>
        <w:t>Section 5,</w:t>
      </w:r>
      <w:r>
        <w:rPr>
          <w:rFonts w:ascii="Times New Roman" w:hAnsi="Times New Roman"/>
          <w:caps w:val="false"/>
          <w:smallCaps w:val="false"/>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hAnsi="Times New Roman"/>
          <w:caps w:val="false"/>
          <w:smallCaps w:val="false"/>
          <w:sz w:val="20"/>
          <w:u w:val="single"/>
        </w:rPr>
        <w:t>Section 5</w:t>
      </w:r>
      <w:r>
        <w:rPr>
          <w:rFonts w:ascii="Times New Roman" w:hAnsi="Times New Roman"/>
          <w:caps w:val="false"/>
          <w:smallCaps w:val="false"/>
          <w:sz w:val="20"/>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6.</w:t>
      </w:r>
      <w:r>
        <w:rPr>
          <w:rFonts w:ascii="Times New Roman" w:hAnsi="Times New Roman"/>
          <w:caps w:val="false"/>
          <w:smallCaps w:val="false"/>
          <w:sz w:val="20"/>
        </w:rPr>
        <w:t xml:space="preserve"> </w:t>
        <w:br/>
        <w:br/>
      </w:r>
      <w:r>
        <w:rPr>
          <w:rFonts w:ascii="Times New Roman" w:hAnsi="Times New Roman"/>
          <w:b/>
          <w:caps w:val="false"/>
          <w:smallCaps w:val="false"/>
          <w:sz w:val="20"/>
        </w:rPr>
        <w:t>CONSOLIDATION, MERGER, SALE OR CONVEYANCE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6.1          </w:t>
      </w:r>
      <w:r>
        <w:rPr>
          <w:rFonts w:ascii="Times New Roman" w:hAnsi="Times New Roman"/>
          <w:b/>
          <w:caps w:val="false"/>
          <w:smallCaps w:val="false"/>
          <w:sz w:val="20"/>
        </w:rPr>
        <w:t>The Company May Not Consolidate, Etc.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term of this Agreement, the Company shall not consolidate with or merge into any other Person or convey, transfer or lease all or substantially all of its properties and assets to any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Person formed by such consolidation or into which the Company is merged or the Person that acquires by conveyance or transfer, or that leases, all or substantially all of the properties and assets of the Company (the “</w:t>
      </w:r>
      <w:r>
        <w:rPr>
          <w:rFonts w:ascii="Times New Roman" w:hAnsi="Times New Roman"/>
          <w:b/>
          <w:i/>
          <w:caps w:val="false"/>
          <w:smallCaps w:val="false"/>
          <w:sz w:val="20"/>
        </w:rPr>
        <w:t>Surviving Person</w:t>
      </w:r>
      <w:r>
        <w:rPr>
          <w:rFonts w:ascii="Times New Roman" w:hAnsi="Times New Roman"/>
          <w:caps w:val="false"/>
          <w:smallCaps w:val="false"/>
          <w:sz w:val="20"/>
        </w:rPr>
        <w:t>”) shall expressly assume payment of amounts on all CVRs (when and as due hereunder) and the performance of every duty and covenant of this Agreement on the part of the Company to be performed or observed;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Company has delivered to the Rights Agent an Officer’s Certificate, stating that such consolidation, merger, conveyance, transfer or lease complies with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and that all conditions precedent in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relating to such transaction have been complied with; </w:t>
      </w:r>
      <w:r>
        <w:rPr>
          <w:rFonts w:ascii="Times New Roman" w:hAnsi="Times New Roman"/>
          <w:caps w:val="false"/>
          <w:smallCaps w:val="false"/>
          <w:sz w:val="20"/>
          <w:u w:val="single"/>
        </w:rPr>
        <w:t>provided</w:t>
      </w:r>
      <w:r>
        <w:rPr>
          <w:rFonts w:ascii="Times New Roman" w:hAnsi="Times New Roman"/>
          <w:caps w:val="false"/>
          <w:smallCaps w:val="false"/>
          <w:sz w:val="20"/>
        </w:rPr>
        <w:t>, that the Rights Agent shall be entitled to rely conclusively on such Officer’s Certificate and shall have no duty to determine whether such transaction complies with this Agreement or whether any successor has validly assumed the Company’s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6.2         </w:t>
      </w:r>
      <w:r>
        <w:rPr>
          <w:rFonts w:ascii="Times New Roman" w:hAnsi="Times New Roman"/>
          <w:b/>
          <w:caps w:val="false"/>
          <w:smallCaps w:val="false"/>
          <w:sz w:val="20"/>
        </w:rPr>
        <w:t>Successor Substituted.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Upon any consolidation of or merger by the Company with or into any other Person, or any conveyance, transfer or lease of all or substantially all of the properties and assets of the Company to any Person in accordance with </w:t>
      </w:r>
      <w:r>
        <w:rPr>
          <w:rFonts w:ascii="Times New Roman" w:hAnsi="Times New Roman"/>
          <w:caps w:val="false"/>
          <w:smallCaps w:val="false"/>
          <w:sz w:val="20"/>
          <w:u w:val="single"/>
        </w:rPr>
        <w:t>Section 6.1</w:t>
      </w:r>
      <w:r>
        <w:rPr>
          <w:rFonts w:ascii="Times New Roman" w:hAnsi="Times New Roman"/>
          <w:caps w:val="false"/>
          <w:smallCaps w:val="false"/>
          <w:sz w:val="20"/>
        </w:rPr>
        <w:t>, the Surviving Person shall succeed to, and be substituted for, and may exercise every right and power of, and shall assume all of the obligations of the Company under this Agreement with the same effect as if the Surviving Person had been named as the Company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7.</w:t>
      </w:r>
      <w:r>
        <w:rPr>
          <w:rFonts w:ascii="Times New Roman" w:hAnsi="Times New Roman"/>
          <w:caps w:val="false"/>
          <w:smallCaps w:val="false"/>
          <w:sz w:val="20"/>
        </w:rPr>
        <w:t xml:space="preserve"> </w:t>
        <w:b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MISCELLANEOUS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7.1          </w:t>
      </w:r>
      <w:r>
        <w:rPr>
          <w:rFonts w:ascii="Times New Roman" w:hAnsi="Times New Roman"/>
          <w:b/>
          <w:caps w:val="false"/>
          <w:smallCaps w:val="false"/>
          <w:sz w:val="20"/>
        </w:rPr>
        <w:t>Notices to Rights Agent and to the Company</w:t>
      </w:r>
      <w:r>
        <w:rPr>
          <w:rFonts w:ascii="Times New Roman" w:hAnsi="Times New Roman"/>
          <w:caps w:val="false"/>
          <w:smallCaps w:val="false"/>
          <w:sz w:val="20"/>
        </w:rPr>
        <w:t>. All notices, requests and other communications (each, a “</w:t>
      </w:r>
      <w:r>
        <w:rPr>
          <w:rFonts w:ascii="Times New Roman" w:hAnsi="Times New Roman"/>
          <w:b/>
          <w:i/>
          <w:caps w:val="false"/>
          <w:smallCaps w:val="false"/>
          <w:sz w:val="20"/>
        </w:rPr>
        <w:t>Notice</w:t>
      </w:r>
      <w:r>
        <w:rPr>
          <w:rFonts w:ascii="Times New Roman" w:hAnsi="Times New Roman"/>
          <w:caps w:val="false"/>
          <w:smallCaps w:val="false"/>
          <w:sz w:val="20"/>
        </w:rPr>
        <w:t>”) to any party hereunder shall be in writing. Such Notice shall be deemed to have been duly delivered and received hereunder on the date of delivery, if delivered in person, by FedEx or other internationally recognized overnight courier service (upon proof of delivery), or (except with respect to any Person other than the Rights Agent) by e-mail (upon confirmation of receipt) prior to 5:00 p.m. in the time zone of the receiving party or on the next Business Day, if delivered after 5:00 p.m. in the time zone of the receiving party,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the Rights Agent,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Broadridge Corporate Issuer Solutions, LLC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 Mercedes Way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Edgewood, NY 11717</w:t>
        <w:br/>
        <w:t>Attn: Corporate Actions Department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BCISCAManagement@Broadridge.com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Aterian,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350 Springfield Avenue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Suite 200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Summit, NJ 07901</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Paul Hastings LLP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1117 S California Ave.</w:t>
        <w:br/>
        <w:t>Palo Alto, CA 94304         </w:t>
        <w:br/>
        <w:t>Attention: Jeff Hartlin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jeffhartlin@paulhastings.com         </w:t>
        <w:br/>
        <w:t>Attention: Elizabeth Razzano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elizabethrazzano@paulhastings.com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or to such other address or email address as such Party may hereafter specify for the purpose by notice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7.2         </w:t>
      </w:r>
      <w:r>
        <w:rPr>
          <w:rFonts w:ascii="Times New Roman" w:hAnsi="Times New Roman"/>
          <w:b/>
          <w:caps w:val="false"/>
          <w:smallCaps w:val="false"/>
          <w:sz w:val="20"/>
        </w:rPr>
        <w:t>Notice to Holders</w:t>
      </w:r>
      <w:r>
        <w:rPr>
          <w:rFonts w:ascii="Times New Roman" w:hAnsi="Times New Roman"/>
          <w:caps w:val="false"/>
          <w:smallCaps w:val="false"/>
          <w:sz w:val="20"/>
        </w:rPr>
        <w:t>.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7.3         </w:t>
      </w:r>
      <w:r>
        <w:rPr>
          <w:rFonts w:ascii="Times New Roman" w:hAnsi="Times New Roman"/>
          <w:b/>
          <w:caps w:val="false"/>
          <w:smallCaps w:val="false"/>
          <w:sz w:val="20"/>
        </w:rPr>
        <w:t>Entire Agreement</w:t>
      </w:r>
      <w:r>
        <w:rPr>
          <w:rFonts w:ascii="Times New Roman" w:hAnsi="Times New Roman"/>
          <w:caps w:val="false"/>
          <w:smallCaps w:val="false"/>
          <w:sz w:val="20"/>
        </w:rPr>
        <w:t>. 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7.4          </w:t>
      </w:r>
      <w:r>
        <w:rPr>
          <w:rFonts w:ascii="Times New Roman" w:hAnsi="Times New Roman"/>
          <w:b/>
          <w:caps w:val="false"/>
          <w:smallCaps w:val="false"/>
          <w:sz w:val="20"/>
        </w:rPr>
        <w:t>Merger or Consolidation or Change of Name of Rights Agent</w:t>
      </w:r>
      <w:r>
        <w:rPr>
          <w:rFonts w:ascii="Times New Roman" w:hAnsi="Times New Roman"/>
          <w:caps w:val="false"/>
          <w:smallCaps w:val="false"/>
          <w:sz w:val="20"/>
        </w:rPr>
        <w:t xml:space="preserve">.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Person would be eligible for appointment as a successor Rights Agent under the provisions of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The purchase of all or substantially all of the Rights Agent’s assets employed in the performance of transfer agent activities shall be deemed a merger or consolidation for purposes of this </w:t>
      </w:r>
      <w:r>
        <w:rPr>
          <w:rFonts w:ascii="Times New Roman" w:hAnsi="Times New Roman"/>
          <w:caps w:val="false"/>
          <w:smallCaps w:val="false"/>
          <w:sz w:val="20"/>
          <w:u w:val="single"/>
        </w:rPr>
        <w:t>Section 7.4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7.5          </w:t>
      </w:r>
      <w:r>
        <w:rPr>
          <w:rFonts w:ascii="Times New Roman" w:hAnsi="Times New Roman"/>
          <w:b/>
          <w:caps w:val="false"/>
          <w:smallCaps w:val="false"/>
          <w:sz w:val="20"/>
        </w:rPr>
        <w:t>Successors and Assigns</w:t>
      </w:r>
      <w:r>
        <w:rPr>
          <w:rFonts w:ascii="Times New Roman" w:hAnsi="Times New Roman"/>
          <w:caps w:val="false"/>
          <w:smallCaps w:val="false"/>
          <w:sz w:val="20"/>
        </w:rPr>
        <w:t xml:space="preserve">. This Agreement will be binding upon, and will be enforceable by and inure solely to the benefit of, the Holders, the Company and the Rights Agent and their respective successors and assigns. Except for assignments pursuant to </w:t>
      </w:r>
      <w:r>
        <w:rPr>
          <w:rFonts w:ascii="Times New Roman" w:hAnsi="Times New Roman"/>
          <w:caps w:val="false"/>
          <w:smallCaps w:val="false"/>
          <w:sz w:val="20"/>
          <w:u w:val="single"/>
        </w:rPr>
        <w:t>Section 7.4</w:t>
      </w:r>
      <w:r>
        <w:rPr>
          <w:rFonts w:ascii="Times New Roman" w:hAnsi="Times New Roman"/>
          <w:caps w:val="false"/>
          <w:smallCaps w:val="false"/>
          <w:sz w:val="20"/>
        </w:rPr>
        <w:t xml:space="preserve">, the Rights Agent may not assign this Agreement without the Company’s prior written consent, not to be unreasonably withheld, conditioned or delayed. Subject to </w:t>
      </w:r>
      <w:r>
        <w:rPr>
          <w:rFonts w:ascii="Times New Roman" w:hAnsi="Times New Roman"/>
          <w:caps w:val="false"/>
          <w:smallCaps w:val="false"/>
          <w:sz w:val="20"/>
          <w:u w:val="single"/>
        </w:rPr>
        <w:t>Section 5.1(a)(ii)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or any other acquiror in connection with the transfer or sale of all or substantially all of the assets or business of the Company (each, an “</w:t>
      </w:r>
      <w:r>
        <w:rPr>
          <w:rFonts w:ascii="Times New Roman" w:hAnsi="Times New Roman"/>
          <w:b/>
          <w:i/>
          <w:caps w:val="false"/>
          <w:smallCaps w:val="false"/>
          <w:sz w:val="20"/>
        </w:rPr>
        <w:t>Assignee</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connection with any assignment to an Assignee, in the event that the Company continues to exist following such transaction, the Company shall remain liable for the performance by the Company of its obligations hereunder. The Company or an Assignee may not otherwise assign this Agreement without the prior consent of the Special Committee (such consent not to be unreasonably withheld, conditioned or delayed). Any attempted assignment of this Agreement in violation of this </w:t>
      </w:r>
      <w:r>
        <w:rPr>
          <w:rFonts w:ascii="Times New Roman" w:hAnsi="Times New Roman"/>
          <w:caps w:val="false"/>
          <w:smallCaps w:val="false"/>
          <w:sz w:val="20"/>
          <w:u w:val="single"/>
        </w:rPr>
        <w:t>Section 7.5</w:t>
      </w:r>
      <w:r>
        <w:rPr>
          <w:rFonts w:ascii="Times New Roman" w:hAnsi="Times New Roman"/>
          <w:caps w:val="false"/>
          <w:smallCaps w:val="false"/>
          <w:sz w:val="20"/>
        </w:rPr>
        <w:t xml:space="preserve"> will be void </w:t>
      </w:r>
      <w:r>
        <w:rPr>
          <w:rFonts w:ascii="Times New Roman" w:hAnsi="Times New Roman"/>
          <w:i/>
          <w:caps w:val="false"/>
          <w:smallCaps w:val="false"/>
          <w:sz w:val="20"/>
        </w:rPr>
        <w:t>ab initio</w:t>
      </w:r>
      <w:r>
        <w:rPr>
          <w:rFonts w:ascii="Times New Roman" w:hAnsi="Times New Roman"/>
          <w:caps w:val="false"/>
          <w:smallCaps w:val="false"/>
          <w:sz w:val="20"/>
        </w:rPr>
        <w:t xml:space="preserve"> and of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7.6         </w:t>
      </w:r>
      <w:r>
        <w:rPr>
          <w:rFonts w:ascii="Times New Roman" w:hAnsi="Times New Roman"/>
          <w:b/>
          <w:caps w:val="false"/>
          <w:smallCaps w:val="false"/>
          <w:sz w:val="20"/>
        </w:rPr>
        <w:t>Benefits of Agreement; Action by Holders</w:t>
      </w:r>
      <w:r>
        <w:rPr>
          <w:rFonts w:ascii="Times New Roman" w:hAnsi="Times New Roman"/>
          <w:caps w:val="false"/>
          <w:smallCaps w:val="false"/>
          <w:sz w:val="20"/>
        </w:rPr>
        <w:t>. 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Special Committee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7.7        </w:t>
      </w:r>
      <w:r>
        <w:rPr>
          <w:rFonts w:ascii="Times New Roman" w:hAnsi="Times New Roman"/>
          <w:b/>
          <w:caps w:val="false"/>
          <w:smallCaps w:val="false"/>
          <w:sz w:val="20"/>
        </w:rPr>
        <w:t>Governing Law</w:t>
      </w:r>
      <w:r>
        <w:rPr>
          <w:rFonts w:ascii="Times New Roman" w:hAnsi="Times New Roman"/>
          <w:caps w:val="false"/>
          <w:smallCaps w:val="false"/>
          <w:sz w:val="20"/>
        </w:rPr>
        <w:t>. This Agreement and the CVRs will be governed by, and construed in accordance with, the laws of the State of Delaware without regard to the conflicts of law rules of such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7.8        </w:t>
      </w:r>
      <w:r>
        <w:rPr>
          <w:rFonts w:ascii="Times New Roman" w:hAnsi="Times New Roman"/>
          <w:b/>
          <w:caps w:val="false"/>
          <w:smallCaps w:val="false"/>
          <w:sz w:val="20"/>
        </w:rPr>
        <w:t>Jurisdiction</w:t>
      </w:r>
      <w:r>
        <w:rPr>
          <w:rFonts w:ascii="Times New Roman" w:hAnsi="Times New Roman"/>
          <w:caps w:val="false"/>
          <w:smallCaps w:val="false"/>
          <w:sz w:val="20"/>
        </w:rPr>
        <w:t xml:space="preserve">.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Chancery Court of the State of Delaware, County of New Castle, or, if under applicable Law exclusive jurisdiction is vested in the Federal courts, the United States District Court for the District of Delaware (and appellate courts thereof); (b) agrees that all claims in respect of such action or proceeding shall be heard and determined exclusively in accordance with clause (a) of this </w:t>
      </w:r>
      <w:r>
        <w:rPr>
          <w:rFonts w:ascii="Times New Roman" w:hAnsi="Times New Roman"/>
          <w:caps w:val="false"/>
          <w:smallCaps w:val="false"/>
          <w:sz w:val="20"/>
          <w:u w:val="single"/>
        </w:rPr>
        <w:t>Section 7.8</w:t>
      </w:r>
      <w:r>
        <w:rPr>
          <w:rFonts w:ascii="Times New Roman" w:hAnsi="Times New Roman"/>
          <w:caps w:val="false"/>
          <w:smallCaps w:val="false"/>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7.9       </w:t>
      </w:r>
      <w:r>
        <w:rPr>
          <w:rFonts w:ascii="Times New Roman" w:hAnsi="Times New Roman"/>
          <w:b/>
          <w:caps w:val="false"/>
          <w:smallCaps w:val="false"/>
          <w:sz w:val="20"/>
        </w:rPr>
        <w:t>WAIVER OF JURY TRIAL</w:t>
      </w:r>
      <w:r>
        <w:rPr>
          <w:rFonts w:ascii="Times New Roman" w:hAnsi="Times New Roman"/>
          <w:caps w:val="false"/>
          <w:smallCaps w:val="false"/>
          <w:sz w:val="20"/>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hAnsi="Times New Roman"/>
          <w:caps w:val="false"/>
          <w:smallCaps w:val="false"/>
          <w:sz w:val="20"/>
          <w:u w:val="single"/>
        </w:rPr>
        <w:t>SECTION 7.9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7.10      </w:t>
      </w:r>
      <w:r>
        <w:rPr>
          <w:rFonts w:ascii="Times New Roman" w:hAnsi="Times New Roman"/>
          <w:b/>
          <w:caps w:val="false"/>
          <w:smallCaps w:val="false"/>
          <w:sz w:val="20"/>
        </w:rPr>
        <w:t>Severability Clause</w:t>
      </w:r>
      <w:r>
        <w:rPr>
          <w:rFonts w:ascii="Times New Roman" w:hAnsi="Times New Roman"/>
          <w:caps w:val="false"/>
          <w:smallCaps w:val="false"/>
          <w:sz w:val="20"/>
        </w:rPr>
        <w:t>.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7.11        </w:t>
      </w:r>
      <w:r>
        <w:rPr>
          <w:rFonts w:ascii="Times New Roman" w:hAnsi="Times New Roman"/>
          <w:b/>
          <w:caps w:val="false"/>
          <w:smallCaps w:val="false"/>
          <w:sz w:val="20"/>
        </w:rPr>
        <w:t>Counterparts; Effectiveness</w:t>
      </w:r>
      <w:r>
        <w:rPr>
          <w:rFonts w:ascii="Times New Roman" w:hAnsi="Times New Roman"/>
          <w:caps w:val="false"/>
          <w:smallCaps w:val="false"/>
          <w:sz w:val="20"/>
        </w:rPr>
        <w:t>. 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7.12      </w:t>
      </w:r>
      <w:r>
        <w:rPr>
          <w:rFonts w:ascii="Times New Roman" w:hAnsi="Times New Roman"/>
          <w:b/>
          <w:caps w:val="false"/>
          <w:smallCaps w:val="false"/>
          <w:sz w:val="20"/>
        </w:rPr>
        <w:t>Termination</w:t>
      </w:r>
      <w:r>
        <w:rPr>
          <w:rFonts w:ascii="Times New Roman" w:hAnsi="Times New Roman"/>
          <w:caps w:val="false"/>
          <w:smallCaps w:val="false"/>
          <w:sz w:val="20"/>
        </w:rPr>
        <w:t xml:space="preserve">. This Agreement shall terminate and be of no further force or effect, and the parties hereto shall have no liability hereunder (except as provided in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at 5:00 p.m., New York City time, on the Termination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accrued rights to fees, expenses, reimbursement or indemnification, shall survive termination of this Agreement and the resignation, replacement or removal of the Rights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if any Proceeds Event has been achieved on or prior to the Termination Date, but the associated CVR Payment Amounts have not been paid on or prior to the Termination Date, this Agreement shall not terminate to the extent related to such CVR Payment Amounts until such CVR Payment Amounts have been paid in full in accordance with the terms of this Agreement;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no termination of this Agreement shall be deemed to affect the rights of the parties to bring suit in the case of a material breach occurring prior to such Termination Date. Notwithstanding the foregoing, no such termination shall affect any rights or obligations accrued prior to the effective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7.13       </w:t>
      </w:r>
      <w:r>
        <w:rPr>
          <w:rFonts w:ascii="Times New Roman" w:hAnsi="Times New Roman"/>
          <w:b/>
          <w:caps w:val="false"/>
          <w:smallCaps w:val="false"/>
          <w:sz w:val="20"/>
        </w:rPr>
        <w:t>Force Majeure</w:t>
      </w:r>
      <w:r>
        <w:rPr>
          <w:rFonts w:ascii="Times New Roman" w:hAnsi="Times New Roman"/>
          <w:caps w:val="false"/>
          <w:smallCaps w:val="false"/>
          <w:sz w:val="20"/>
        </w:rPr>
        <w:t>. Notwithstanding anything to the contrary contained herein, none of the Rights Agent, the Company or any of its Subsidiaries will be liable for any delays or failures in performance resulting from acts beyond its reasonable control including acts of God, pandemics, terrorist acts, shortage of supply, breakdowns or malfunctions, interruptions or malfunctions of computer facilities, or loss of data due to power failures or mechanical difficulties with information storage or retrieval systems, labor difficulties, war or civil unrest.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7.14       </w:t>
      </w:r>
      <w:r>
        <w:rPr>
          <w:rFonts w:ascii="Times New Roman" w:hAnsi="Times New Roman"/>
          <w:b/>
          <w:caps w:val="false"/>
          <w:smallCaps w:val="false"/>
          <w:sz w:val="20"/>
        </w:rPr>
        <w:t>No Recourse Against Others</w:t>
      </w:r>
      <w:r>
        <w:rPr>
          <w:rFonts w:ascii="Times New Roman" w:hAnsi="Times New Roman"/>
          <w:caps w:val="false"/>
          <w:smallCaps w:val="false"/>
          <w:sz w:val="20"/>
        </w:rPr>
        <w:t>. No current or former director, officer or employee, as such, of the Company or the Rights Agent or any agent, representative, Affiliate, stockholder, member, manager or controlling person of the Rights Agent or of their respective Affiliates shall have any liability for any obligations of the Company or the Rights Agent under the CVRs or this Agreement or for any claim based on, in respect of or by reason of such obligations or their creation. By accepting a CVR, each Holder waives and releases all such liability. The waiver and release are part of the consideration for the issue of the CVRs.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[Remainder of page intentionally left blank]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each of the parties has caused this Agreement to be executed as of the day and year first above written.</w:t>
      </w:r>
    </w:p>
    <w:p>
      <w:pPr>
        <w:pStyle w:val="TextBody"/>
        <w:bidi w:val="0"/>
        <w:spacing w:before="0" w:after="0"/>
        <w:ind w:left="0" w:right="0" w:hanging="0"/>
        <w:jc w:val="left"/>
        <w:rPr/>
      </w:pPr>
      <w:r>
        <w:rPr/>
        <w:t> </w:t>
      </w:r>
    </w:p>
    <w:tbl>
      <w:tblPr>
        <w:tblW w:w="4662" w:type="dxa"/>
        <w:jc w:val="left"/>
        <w:tblInd w:w="0" w:type="dxa"/>
        <w:tblLayout w:type="fixed"/>
        <w:tblCellMar>
          <w:top w:w="28" w:type="dxa"/>
          <w:left w:w="28" w:type="dxa"/>
          <w:bottom w:w="28" w:type="dxa"/>
          <w:right w:w="28" w:type="dxa"/>
        </w:tblCellMar>
      </w:tblPr>
      <w:tblGrid>
        <w:gridCol w:w="161"/>
        <w:gridCol w:w="4501"/>
      </w:tblGrid>
      <w:tr>
        <w:trPr/>
        <w:tc>
          <w:tcPr>
            <w:tcW w:w="161" w:type="dxa"/>
            <w:tcBorders/>
            <w:vAlign w:val="center"/>
          </w:tcPr>
          <w:p>
            <w:pPr>
              <w:pStyle w:val="TableContents"/>
              <w:bidi w:val="0"/>
              <w:spacing w:before="0" w:after="0"/>
              <w:ind w:left="0" w:right="0" w:hanging="0"/>
              <w:jc w:val="left"/>
              <w:rPr/>
            </w:pPr>
            <w:r>
              <w:rPr/>
              <w:t> </w:t>
            </w:r>
          </w:p>
        </w:tc>
        <w:tc>
          <w:tcPr>
            <w:tcW w:w="4501" w:type="dxa"/>
            <w:tcBorders/>
            <w:vAlign w:val="center"/>
          </w:tcPr>
          <w:p>
            <w:pPr>
              <w:pStyle w:val="TableContents"/>
              <w:bidi w:val="0"/>
              <w:spacing w:before="0" w:after="0"/>
              <w:ind w:left="0" w:right="0" w:hanging="0"/>
              <w:jc w:val="left"/>
              <w:rPr/>
            </w:pPr>
            <w:r>
              <w:rPr/>
              <w:t> </w:t>
            </w:r>
          </w:p>
          <w:p>
            <w:pPr>
              <w:pStyle w:val="TableContents"/>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rPr>
              <w:t>ATERIAN, INC.</w:t>
            </w:r>
            <w:r>
              <w:rPr>
                <w:rFonts w:ascii="Times New Roman" w:hAnsi="Times New Roman"/>
                <w:caps w:val="false"/>
                <w:smallCaps w:val="false"/>
                <w:sz w:val="20"/>
              </w:rPr>
              <w:t xml:space="preserve"> </w:t>
              <w:br/>
              <w:t> </w:t>
            </w:r>
          </w:p>
          <w:p>
            <w:pPr>
              <w:pStyle w:val="TableContents"/>
              <w:bidi w:val="0"/>
              <w:ind w:left="0" w:right="0" w:hanging="0"/>
              <w:jc w:val="left"/>
              <w:rPr>
                <w:caps w:val="false"/>
                <w:smallCaps w:val="false"/>
              </w:rPr>
            </w:pPr>
            <w:r>
              <w:rPr>
                <w:caps w:val="false"/>
                <w:smallCaps w:val="false"/>
              </w:rPr>
              <w:t> </w:t>
            </w:r>
          </w:p>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Arturo Rodriguez                                                   </w:t>
            </w:r>
            <w:r>
              <w:rPr>
                <w:rFonts w:ascii="Times New Roman" w:hAnsi="Times New Roman"/>
                <w:caps w:val="false"/>
                <w:smallCaps w:val="false"/>
                <w:sz w:val="20"/>
              </w:rPr>
              <w:t xml:space="preserve"> </w:t>
              <w:br/>
              <w:t>Name: Arturo Rodriguez</w:t>
              <w:br/>
              <w:t>Title: Chief Executive Officer</w:t>
              <w:br/>
              <w:b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BROADRIDGE CORPORATE ISSUER </w:t>
            </w:r>
          </w:p>
          <w:p>
            <w:pPr>
              <w:pStyle w:val="TableContents"/>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rPr>
              <w:t>SOLUTIONS, LLC</w:t>
            </w:r>
            <w:r>
              <w:rPr>
                <w:rFonts w:ascii="Times New Roman" w:hAnsi="Times New Roman"/>
                <w:caps w:val="false"/>
                <w:smallCaps w:val="false"/>
                <w:sz w:val="20"/>
              </w:rPr>
              <w:t xml:space="preserve"> </w:t>
              <w:br/>
              <w:t> </w:t>
            </w:r>
          </w:p>
          <w:p>
            <w:pPr>
              <w:pStyle w:val="TableContents"/>
              <w:bidi w:val="0"/>
              <w:ind w:left="0" w:right="0" w:hanging="0"/>
              <w:jc w:val="left"/>
              <w:rPr>
                <w:caps w:val="false"/>
                <w:smallCaps w:val="false"/>
              </w:rPr>
            </w:pPr>
            <w:r>
              <w:rPr>
                <w:caps w:val="false"/>
                <w:smallCaps w:val="false"/>
              </w:rPr>
              <w:t> </w:t>
            </w:r>
          </w:p>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John P. Dunn                                                          </w:t>
            </w:r>
            <w:r>
              <w:rPr>
                <w:rFonts w:ascii="Times New Roman" w:hAnsi="Times New Roman"/>
                <w:caps w:val="false"/>
                <w:smallCaps w:val="false"/>
                <w:sz w:val="20"/>
              </w:rPr>
              <w:t xml:space="preserve"> </w:t>
              <w:br/>
              <w:t>Name: John P. Dunn</w:t>
              <w:br/>
              <w:t>Title: Senior Vice President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to Contingent Value Rights Agreement</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 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Proceeds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120" w:type="dxa"/>
          <w:left w:w="120" w:type="dxa"/>
          <w:bottom w:w="120" w:type="dxa"/>
          <w:right w:w="120" w:type="dxa"/>
        </w:tblCellMar>
      </w:tblPr>
      <w:tblGrid>
        <w:gridCol w:w="3053"/>
        <w:gridCol w:w="7152"/>
      </w:tblGrid>
      <w:tr>
        <w:trPr/>
        <w:tc>
          <w:tcPr>
            <w:tcW w:w="3053" w:type="dxa"/>
            <w:tcBorders>
              <w:top w:val="single" w:sz="6" w:space="0" w:color="000000"/>
              <w:left w:val="single" w:sz="6" w:space="0" w:color="000000"/>
              <w:bottom w:val="single" w:sz="6" w:space="0" w:color="000000"/>
              <w:right w:val="single" w:sz="6"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Proceeds Event</w:t>
            </w:r>
          </w:p>
        </w:tc>
        <w:tc>
          <w:tcPr>
            <w:tcW w:w="7152" w:type="dxa"/>
            <w:tcBorders>
              <w:top w:val="single" w:sz="2" w:space="0" w:color="000000"/>
              <w:bottom w:val="single" w:sz="2" w:space="0" w:color="000000"/>
              <w:right w:val="single" w:sz="2" w:space="0" w:color="000000"/>
            </w:tcBorders>
            <w:shd w:fill="E6E6E6" w:val="clear"/>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Applicable Proceeds</w:t>
            </w:r>
          </w:p>
        </w:tc>
      </w:tr>
      <w:tr>
        <w:trPr/>
        <w:tc>
          <w:tcPr>
            <w:tcW w:w="30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Closing of the Asset Sale pursuant to the terms of the APA.</w:t>
            </w:r>
          </w:p>
        </w:tc>
        <w:tc>
          <w:tcPr>
            <w:tcW w:w="715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net proceeds of the Asset Sale </w:t>
            </w:r>
            <w:r>
              <w:rPr>
                <w:rFonts w:ascii="Times New Roman" w:hAnsi="Times New Roman"/>
                <w:caps w:val="false"/>
                <w:smallCaps w:val="false"/>
                <w:sz w:val="20"/>
                <w:u w:val="single"/>
              </w:rPr>
              <w:t>after</w:t>
            </w:r>
            <w:r>
              <w:rPr>
                <w:rFonts w:ascii="Times New Roman" w:hAnsi="Times New Roman"/>
                <w:caps w:val="false"/>
                <w:smallCaps w:val="false"/>
                <w:sz w:val="20"/>
              </w:rPr>
              <w:t> (a) satisfaction of certain indebtedness collateralized by the assets subject to the Asset Sale, (b) payment of the Company’s legal, financial advisory, and other costs and expenses incurred, or required to be paid or satisfied, in connection with the Asset Sale, including (i) prorated annual bonuses to certain employees, (ii) tail policies, and (iii) third-party indebtedness of the Company, (c) setting aside (i) $1,000,000 with respect to ongoing Company operational costs and expenses (the “</w:t>
            </w:r>
            <w:r>
              <w:rPr>
                <w:rFonts w:ascii="Times New Roman" w:hAnsi="Times New Roman"/>
                <w:caps w:val="false"/>
                <w:smallCaps w:val="false"/>
                <w:sz w:val="20"/>
                <w:u w:val="single"/>
              </w:rPr>
              <w:t>Backstop</w:t>
            </w:r>
            <w:r>
              <w:rPr>
                <w:rFonts w:ascii="Times New Roman" w:hAnsi="Times New Roman"/>
                <w:caps w:val="false"/>
                <w:smallCaps w:val="false"/>
                <w:sz w:val="20"/>
              </w:rPr>
              <w:t>”) and (ii) an aggregate amount not to exceed $6,000,000 with respect to the Specified Liabilities (as defined in the SPA) (the “Additional Reserves”).</w:t>
            </w:r>
          </w:p>
        </w:tc>
      </w:tr>
      <w:tr>
        <w:trPr/>
        <w:tc>
          <w:tcPr>
            <w:tcW w:w="30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satisfaction in full of the Specified Liabilities.</w:t>
            </w:r>
          </w:p>
        </w:tc>
        <w:tc>
          <w:tcPr>
            <w:tcW w:w="715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Additional Reserves Remainder (as defined in the SPA).</w:t>
            </w:r>
          </w:p>
        </w:tc>
      </w:tr>
      <w:tr>
        <w:trPr/>
        <w:tc>
          <w:tcPr>
            <w:tcW w:w="30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receipt of cash or other proceeds by the Company and/or any of its Affiliates in connection with or as a result of any sale(s) of assets (other than the Asset Sale), including those assets set forth on Schedule 4.16(c) to the SPA.</w:t>
            </w:r>
          </w:p>
        </w:tc>
        <w:tc>
          <w:tcPr>
            <w:tcW w:w="715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net proceeds of such asset sale(s); </w:t>
            </w:r>
            <w:r>
              <w:rPr>
                <w:rFonts w:ascii="Times New Roman" w:hAnsi="Times New Roman"/>
                <w:caps w:val="false"/>
                <w:smallCaps w:val="false"/>
                <w:sz w:val="20"/>
                <w:u w:val="single"/>
              </w:rPr>
              <w:t>provided</w:t>
            </w:r>
            <w:r>
              <w:rPr>
                <w:rFonts w:ascii="Times New Roman" w:hAnsi="Times New Roman"/>
                <w:caps w:val="false"/>
                <w:smallCaps w:val="false"/>
                <w:sz w:val="20"/>
              </w:rPr>
              <w:t>, for the avoidance of doubt, that such proceeds shall exclude the Backstop.</w:t>
            </w:r>
          </w:p>
        </w:tc>
      </w:tr>
      <w:tr>
        <w:trPr/>
        <w:tc>
          <w:tcPr>
            <w:tcW w:w="30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receipt of cash or other proceeds by the Company and/or any of its Affiliates in connection with or as a result of the release of any restricted cash or import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bond held by the Company at or prior to the Second SPA Closing.</w:t>
            </w:r>
          </w:p>
        </w:tc>
        <w:tc>
          <w:tcPr>
            <w:tcW w:w="715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net amount of such release.</w:t>
            </w:r>
          </w:p>
        </w:tc>
      </w:tr>
      <w:tr>
        <w:trPr/>
        <w:tc>
          <w:tcPr>
            <w:tcW w:w="30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receipt of cash or other proceeds by the Company and/or any of its Affiliates in connection with or as a result of the release of any amounts held in escrow for the benefit of the Company and/or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of its equityholders in connection with the Asset Sale or in respect of any other transaction occurring at or prior to the Second SPA Closing.</w:t>
            </w:r>
          </w:p>
        </w:tc>
        <w:tc>
          <w:tcPr>
            <w:tcW w:w="715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net proceeds of each such transaction.</w:t>
            </w:r>
          </w:p>
        </w:tc>
      </w:tr>
      <w:tr>
        <w:trPr/>
        <w:tc>
          <w:tcPr>
            <w:tcW w:w="30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receipt of cash or other proceeds by the Company and/or any of its Affiliates in connection with the Investment Transaction.</w:t>
            </w:r>
          </w:p>
        </w:tc>
        <w:tc>
          <w:tcPr>
            <w:tcW w:w="715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net proceeds of the Investment Transaction, subject to the Backstop and the Additional Reserves.</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 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Participating Warrants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21051</Words>
  <Characters>109632</Characters>
  <CharactersWithSpaces>131709</CharactersWithSpaces>
  <Paragraphs>1202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