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er20260630_10q.htm"/>
      <w:bookmarkStart w:id="1" w:name="ksater202606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001-38937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3275"/>
        <w:gridCol w:w="60"/>
        <w:gridCol w:w="1955"/>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83-1739858</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Number)</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350 Springfield Avenue, Suite 200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Summit, NJ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07901</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(347) 676-1681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 xml:space="preserve">s telephone number, including area code)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605"/>
        <w:gridCol w:w="60"/>
        <w:gridCol w:w="1610"/>
        <w:gridCol w:w="60"/>
        <w:gridCol w:w="3695"/>
      </w:tblGrid>
      <w:tr>
        <w:trPr/>
        <w:tc>
          <w:tcPr>
            <w:tcW w:w="3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ATER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225"/>
        <w:gridCol w:w="230"/>
        <w:gridCol w:w="60"/>
        <w:gridCol w:w="2225"/>
        <w:gridCol w:w="29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August 12, 2026, the registrant had 17,966,910 shares of common stock, $0.0001 par value per share, outstanding.</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875"/>
        <w:gridCol w:w="7280"/>
        <w:gridCol w:w="440"/>
      </w:tblGrid>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280"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caps w:val="false"/>
                  <w:smallCaps w:val="false"/>
                  <w:sz w:val="20"/>
                </w:rPr>
                <w:t>FINANCIAL INFORMATION</w:t>
              </w:r>
            </w:hyperlink>
          </w:p>
        </w:tc>
        <w:tc>
          <w:tcPr>
            <w:tcW w:w="440"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Financial Statements (Unaudited)</w:t>
              </w:r>
            </w:hyperlink>
          </w:p>
        </w:tc>
        <w:tc>
          <w:tcPr>
            <w:tcW w:w="440" w:type="dxa"/>
            <w:tcBorders/>
            <w:vAlign w:val="center"/>
          </w:tcPr>
          <w:p>
            <w:pPr>
              <w:pStyle w:val="TableContents"/>
              <w:bidi w:val="0"/>
              <w:spacing w:before="0" w:after="0"/>
              <w:ind w:left="0" w:right="0" w:hanging="0"/>
              <w:jc w:val="right"/>
              <w:rPr/>
            </w:pPr>
            <w:hyperlink w:anchor="f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comploss">
              <w:r>
                <w:rPr>
                  <w:rStyle w:val="InternetLink"/>
                  <w:rFonts w:ascii="Times New Roman" w:hAnsi="Times New Roman"/>
                  <w:caps w:val="false"/>
                  <w:smallCaps w:val="false"/>
                  <w:sz w:val="20"/>
                </w:rPr>
                <w:t>Condensed Consolidated Statements of Comprehensive Loss</w:t>
              </w:r>
            </w:hyperlink>
          </w:p>
        </w:tc>
        <w:tc>
          <w:tcPr>
            <w:tcW w:w="440" w:type="dxa"/>
            <w:tcBorders/>
            <w:vAlign w:val="center"/>
          </w:tcPr>
          <w:p>
            <w:pPr>
              <w:pStyle w:val="TableContents"/>
              <w:bidi w:val="0"/>
              <w:spacing w:before="0" w:after="0"/>
              <w:ind w:left="0" w:right="0" w:hanging="0"/>
              <w:jc w:val="right"/>
              <w:rPr/>
            </w:pPr>
            <w:hyperlink w:anchor="comploss">
              <w:r>
                <w:rPr>
                  <w:rStyle w:val="InternetLink"/>
                  <w:rFonts w:ascii="Times New Roman" w:hAnsi="Times New Roman"/>
                  <w:caps w:val="false"/>
                  <w:smallCaps w:val="false"/>
                  <w:sz w:val="20"/>
                </w:rPr>
                <w:t>5</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cashflows">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ashflows">
              <w:r>
                <w:rPr>
                  <w:rStyle w:val="InternetLink"/>
                  <w:rFonts w:ascii="Times New Roman" w:hAnsi="Times New Roman"/>
                  <w:caps w:val="false"/>
                  <w:smallCaps w:val="false"/>
                  <w:sz w:val="20"/>
                </w:rPr>
                <w:t>8</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9</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23</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qd">
              <w:r>
                <w:rPr>
                  <w:rStyle w:val="InternetLink"/>
                  <w:rFonts w:ascii="Times New Roman" w:hAnsi="Times New Roman"/>
                  <w:caps w:val="false"/>
                  <w:smallCaps w:val="false"/>
                  <w:sz w:val="20"/>
                </w:rPr>
                <w:t>37</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37</w:t>
              </w:r>
            </w:hyperlink>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280"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38</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2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38</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43</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43</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minesafety">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right"/>
              <w:rPr/>
            </w:pPr>
            <w:hyperlink w:anchor="minesafety">
              <w:r>
                <w:rPr>
                  <w:rStyle w:val="InternetLink"/>
                  <w:rFonts w:ascii="Times New Roman" w:hAnsi="Times New Roman"/>
                  <w:caps w:val="false"/>
                  <w:smallCaps w:val="false"/>
                  <w:sz w:val="20"/>
                </w:rPr>
                <w:t>43</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280" w:type="dxa"/>
            <w:tcBorders/>
            <w:vAlign w:val="center"/>
          </w:tcPr>
          <w:p>
            <w:pPr>
              <w:pStyle w:val="TableContents"/>
              <w:bidi w:val="0"/>
              <w:spacing w:before="0" w:after="0"/>
              <w:ind w:left="0" w:right="0" w:hanging="0"/>
              <w:jc w:val="left"/>
              <w:rPr/>
            </w:pPr>
            <w:hyperlink w:anchor="other">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other">
              <w:r>
                <w:rPr>
                  <w:rStyle w:val="InternetLink"/>
                  <w:rFonts w:ascii="Times New Roman" w:hAnsi="Times New Roman"/>
                  <w:caps w:val="false"/>
                  <w:smallCaps w:val="false"/>
                  <w:sz w:val="20"/>
                </w:rPr>
                <w:t>43</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44</w:t>
              </w:r>
            </w:hyperlink>
          </w:p>
        </w:tc>
      </w:tr>
      <w:tr>
        <w:trPr/>
        <w:tc>
          <w:tcPr>
            <w:tcW w:w="87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45</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Section 27A of the Securities Act and Section 21E of the Securities Exchange Act of 1934 (the "Exchange Act"). Many of these statements can be identified by the use of terminology such as </w:t>
      </w:r>
      <w:r>
        <w:rPr>
          <w:rFonts w:ascii="Times New Roman" w:hAnsi="Times New Roman"/>
          <w:caps w:val="false"/>
          <w:smallCaps w:val="false"/>
          <w:sz w:val="20"/>
        </w:rPr>
        <w:t>“</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xml:space="preserve">”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continues,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opportunity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the negative versions of these terms and other similar expressions. Our actual results or experience could differ significantly from the forward-looking statements. Factors that could cause or contribute to these differences include those discussed in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Part II, Item 1A of this Quarterly Report on Form 10-Q as well as information provided elsewhere in this Quarterly Report on Form 10-Q and our Annual Report on Form 10-K for the year ended December 31, 2025, which was filed with the Securities and Exchange Commission (the SEC) on March 20, 2026. You should carefully consider that information before you make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You should not place undue reliance on these types of forward-looking statements, which speak only as of the date that they were made. These forward-looking statements are based on the beliefs and assumptions of the Company</w:t>
      </w:r>
      <w:r>
        <w:rPr>
          <w:rFonts w:ascii="Times New Roman" w:hAnsi="Times New Roman"/>
          <w:caps w:val="false"/>
          <w:smallCaps w:val="false"/>
          <w:sz w:val="20"/>
        </w:rPr>
        <w:t>’</w:t>
      </w:r>
      <w:r>
        <w:rPr>
          <w:rFonts w:ascii="Times New Roman" w:hAnsi="Times New Roman"/>
          <w:i/>
          <w:caps w:val="false"/>
          <w:smallCaps w:val="false"/>
          <w:sz w:val="20"/>
        </w:rPr>
        <w:t>s management based on information currently available to management and should be considered in connection with any written or oral forward-looking statements that the Company may issue in the future as well as other cautionary statements the Company has made and may make. Except as required by law, the Company does not undertake any obligation to release publicly any revisions to these forward-looking statements after completion of the filing of this Quarterly Report on Form 10-Q to reflect later events or circumstances or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discussion of the Company</w:t>
      </w:r>
      <w:r>
        <w:rPr>
          <w:rFonts w:ascii="Times New Roman" w:hAnsi="Times New Roman"/>
          <w:caps w:val="false"/>
          <w:smallCaps w:val="false"/>
          <w:sz w:val="20"/>
        </w:rPr>
        <w:t>’</w:t>
      </w:r>
      <w:r>
        <w:rPr>
          <w:rFonts w:ascii="Times New Roman" w:hAnsi="Times New Roman"/>
          <w:i/>
          <w:caps w:val="false"/>
          <w:smallCaps w:val="false"/>
          <w:sz w:val="20"/>
        </w:rPr>
        <w:t>s financial condition and results of operations should be read in conjunction with the Company</w:t>
      </w:r>
      <w:r>
        <w:rPr>
          <w:rFonts w:ascii="Times New Roman" w:hAnsi="Times New Roman"/>
          <w:caps w:val="false"/>
          <w:smallCaps w:val="false"/>
          <w:sz w:val="20"/>
        </w:rPr>
        <w:t>’</w:t>
      </w:r>
      <w:r>
        <w:rPr>
          <w:rFonts w:ascii="Times New Roman" w:hAnsi="Times New Roman"/>
          <w:i/>
          <w:caps w:val="false"/>
          <w:smallCaps w:val="false"/>
          <w:sz w:val="20"/>
        </w:rPr>
        <w:t>s Condensed Consolidated Financial Statements and the related Notes thereto included in this Quarterly Report on Form 10-Q.</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3" w:name="part1"/>
      <w:bookmarkEnd w:id="3"/>
      <w:r>
        <w:rPr>
          <w:rFonts w:ascii="Times New Roman;Times;serif" w:hAnsi="Times New Roman;Times;serif"/>
          <w:b/>
          <w:sz w:val="20"/>
        </w:rPr>
        <w:t>PART I</w:t>
      </w:r>
      <w:r>
        <w:rPr>
          <w:rFonts w:ascii="Times New Roman;Times;serif" w:hAnsi="Times New Roman;Times;serif"/>
          <w:sz w:val="20"/>
        </w:rPr>
        <w:t>—</w:t>
      </w:r>
      <w:r>
        <w:rPr>
          <w:rFonts w:ascii="Times New Roman;Times;serif" w:hAnsi="Times New Roman;Times;serif"/>
          <w:b/>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4" w:name="fs"/>
      <w:bookmarkEnd w:id="4"/>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62"/>
        <w:gridCol w:w="60"/>
        <w:gridCol w:w="146"/>
        <w:gridCol w:w="883"/>
        <w:gridCol w:w="80"/>
        <w:gridCol w:w="60"/>
        <w:gridCol w:w="174"/>
        <w:gridCol w:w="1058"/>
        <w:gridCol w:w="82"/>
      </w:tblGrid>
      <w:tr>
        <w:trPr/>
        <w:tc>
          <w:tcPr>
            <w:tcW w:w="76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4,857</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held for sale (Note 3)</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21,490</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28,515</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29,565</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LIABILITIES AND STOCKHOLDERS</w:t>
            </w:r>
            <w:r>
              <w:rPr>
                <w:rFonts w:ascii="Times New Roman;Times;serif" w:hAnsi="Times New Roman;Times;serif"/>
                <w:caps w:val="false"/>
                <w:smallCaps w:val="false"/>
                <w:sz w:val="20"/>
                <w:u w:val="single"/>
              </w:rPr>
              <w:t xml:space="preserve">’ </w:t>
            </w:r>
            <w:r>
              <w:rPr>
                <w:rFonts w:ascii="Times New Roman;Times;serif" w:hAnsi="Times New Roman;Times;serif"/>
                <w:b/>
                <w:caps w:val="false"/>
                <w:smallCaps w:val="false"/>
                <w:sz w:val="20"/>
                <w:u w:val="single"/>
              </w:rPr>
              <w:t>EQUITY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Seller notes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5,336</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held for sale (Note 3)</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14,130</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14,355</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 $0.0001 par value, 10,000,000 shares authorized, 1,750,000 and no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500,000,000 shares authorized and 10,879,410 and 10,027,046 shares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746,414</w:t>
            </w:r>
          </w:p>
        </w:tc>
        <w:tc>
          <w:tcPr>
            <w:tcW w:w="82" w:type="dxa"/>
            <w:tcBorders/>
            <w:shd w:fill="FFFFFF" w:val="clear"/>
            <w:vAlign w:val="center"/>
          </w:tcPr>
          <w:p>
            <w:pPr>
              <w:pStyle w:val="TableContents"/>
              <w:bidi w:val="0"/>
              <w:spacing w:before="0" w:after="283"/>
              <w:jc w:val="left"/>
              <w:rPr/>
            </w:pPr>
            <w:r>
              <w:rPr/>
              <w:t> </w:t>
            </w:r>
          </w:p>
        </w:tc>
      </w:tr>
      <w:tr>
        <w:trPr/>
        <w:tc>
          <w:tcPr>
            <w:tcW w:w="7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(730,661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6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15,210</w:t>
            </w:r>
          </w:p>
        </w:tc>
        <w:tc>
          <w:tcPr>
            <w:tcW w:w="82" w:type="dxa"/>
            <w:tcBorders/>
            <w:shd w:fill="CCEEFF" w:val="clear"/>
            <w:vAlign w:val="center"/>
          </w:tcPr>
          <w:p>
            <w:pPr>
              <w:pStyle w:val="TableContents"/>
              <w:bidi w:val="0"/>
              <w:spacing w:before="0" w:after="283"/>
              <w:jc w:val="left"/>
              <w:rPr/>
            </w:pPr>
            <w:r>
              <w:rPr/>
              <w:t> </w:t>
            </w:r>
          </w:p>
        </w:tc>
      </w:tr>
      <w:tr>
        <w:trPr/>
        <w:tc>
          <w:tcPr>
            <w:tcW w:w="76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29,565</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income"/>
      <w:bookmarkEnd w:id="6"/>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42"/>
        <w:gridCol w:w="60"/>
        <w:gridCol w:w="145"/>
        <w:gridCol w:w="986"/>
        <w:gridCol w:w="92"/>
        <w:gridCol w:w="69"/>
        <w:gridCol w:w="145"/>
        <w:gridCol w:w="986"/>
        <w:gridCol w:w="80"/>
        <w:gridCol w:w="60"/>
        <w:gridCol w:w="135"/>
        <w:gridCol w:w="917"/>
        <w:gridCol w:w="86"/>
        <w:gridCol w:w="64"/>
        <w:gridCol w:w="135"/>
        <w:gridCol w:w="917"/>
        <w:gridCol w:w="86"/>
      </w:tblGrid>
      <w:tr>
        <w:trPr/>
        <w:tc>
          <w:tcPr>
            <w:tcW w:w="5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6" w:type="dxa"/>
            <w:tcBorders/>
            <w:shd w:fill="FFFFFF" w:val="clear"/>
            <w:vAlign w:val="center"/>
          </w:tcPr>
          <w:p>
            <w:pPr>
              <w:pStyle w:val="TableContents"/>
              <w:bidi w:val="0"/>
              <w:spacing w:before="0" w:after="283"/>
              <w:jc w:val="left"/>
              <w:rPr/>
            </w:pPr>
            <w:r>
              <w:rPr/>
              <w:t> </w:t>
            </w:r>
          </w:p>
        </w:tc>
      </w:tr>
      <w:tr>
        <w:trPr/>
        <w:tc>
          <w:tcPr>
            <w:tcW w:w="5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6" w:type="dxa"/>
            <w:tcBorders/>
            <w:shd w:fill="FFFFFF" w:val="clear"/>
            <w:vAlign w:val="center"/>
          </w:tcPr>
          <w:p>
            <w:pPr>
              <w:pStyle w:val="TableContents"/>
              <w:bidi w:val="0"/>
              <w:spacing w:before="0" w:after="283"/>
              <w:jc w:val="left"/>
              <w:rPr/>
            </w:pPr>
            <w:r>
              <w:rPr/>
              <w:t> </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6" w:type="dxa"/>
            <w:tcBorders/>
            <w:shd w:fill="CCEEFF" w:val="clear"/>
            <w:vAlign w:val="center"/>
          </w:tcPr>
          <w:p>
            <w:pPr>
              <w:pStyle w:val="TableContents"/>
              <w:bidi w:val="0"/>
              <w:spacing w:before="0" w:after="283"/>
              <w:jc w:val="left"/>
              <w:rPr/>
            </w:pPr>
            <w:r>
              <w:rPr/>
              <w:t> </w:t>
            </w:r>
          </w:p>
        </w:tc>
      </w:tr>
      <w:tr>
        <w:trPr/>
        <w:tc>
          <w:tcPr>
            <w:tcW w:w="52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6" w:type="dxa"/>
            <w:tcBorders/>
            <w:shd w:fill="FFFFFF" w:val="clear"/>
            <w:vAlign w:val="center"/>
          </w:tcPr>
          <w:p>
            <w:pPr>
              <w:pStyle w:val="TableContents"/>
              <w:bidi w:val="0"/>
              <w:spacing w:before="0" w:after="283"/>
              <w:jc w:val="left"/>
              <w:rPr/>
            </w:pPr>
            <w:r>
              <w:rPr/>
              <w:t> </w:t>
            </w:r>
          </w:p>
        </w:tc>
      </w:tr>
      <w:tr>
        <w:trPr/>
        <w:tc>
          <w:tcPr>
            <w:tcW w:w="524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6" w:type="dxa"/>
            <w:tcBorders/>
            <w:shd w:fill="CCEEFF" w:val="clear"/>
            <w:vAlign w:val="center"/>
          </w:tcPr>
          <w:p>
            <w:pPr>
              <w:pStyle w:val="TableContents"/>
              <w:bidi w:val="0"/>
              <w:spacing w:before="0" w:after="283"/>
              <w:jc w:val="left"/>
              <w:rPr/>
            </w:pPr>
            <w:r>
              <w:rPr/>
              <w:t> </w:t>
            </w:r>
          </w:p>
        </w:tc>
      </w:tr>
      <w:tr>
        <w:trPr/>
        <w:tc>
          <w:tcPr>
            <w:tcW w:w="52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24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86" w:type="dxa"/>
            <w:tcBorders/>
            <w:shd w:fill="CCEEFF" w:val="clear"/>
            <w:vAlign w:val="center"/>
          </w:tcPr>
          <w:p>
            <w:pPr>
              <w:pStyle w:val="TableContents"/>
              <w:bidi w:val="0"/>
              <w:spacing w:before="0" w:after="283"/>
              <w:jc w:val="left"/>
              <w:rPr/>
            </w:pPr>
            <w:r>
              <w:rPr/>
              <w:t> </w:t>
            </w:r>
          </w:p>
        </w:tc>
      </w:tr>
      <w:tr>
        <w:trPr/>
        <w:tc>
          <w:tcPr>
            <w:tcW w:w="524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3,772</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6,691</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5,938</w:t>
            </w:r>
          </w:p>
        </w:tc>
        <w:tc>
          <w:tcPr>
            <w:tcW w:w="86" w:type="dxa"/>
            <w:tcBorders/>
            <w:shd w:fill="FFFFFF" w:val="clear"/>
            <w:vAlign w:val="center"/>
          </w:tcPr>
          <w:p>
            <w:pPr>
              <w:pStyle w:val="TableContents"/>
              <w:bidi w:val="0"/>
              <w:spacing w:before="0" w:after="283"/>
              <w:jc w:val="left"/>
              <w:rPr/>
            </w:pPr>
            <w:r>
              <w:rPr/>
              <w:t> </w:t>
            </w:r>
          </w:p>
        </w:tc>
      </w:tr>
      <w:tr>
        <w:trPr/>
        <w:tc>
          <w:tcPr>
            <w:tcW w:w="524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3,960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7,179</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7,010</w:t>
            </w:r>
          </w:p>
        </w:tc>
        <w:tc>
          <w:tcPr>
            <w:tcW w:w="86" w:type="dxa"/>
            <w:tcBorders/>
            <w:shd w:fill="CCEEFF" w:val="clear"/>
            <w:vAlign w:val="center"/>
          </w:tcPr>
          <w:p>
            <w:pPr>
              <w:pStyle w:val="TableContents"/>
              <w:bidi w:val="0"/>
              <w:spacing w:before="0" w:after="283"/>
              <w:jc w:val="left"/>
              <w:rPr/>
            </w:pPr>
            <w:r>
              <w:rPr/>
              <w:t> </w:t>
            </w:r>
          </w:p>
        </w:tc>
      </w:tr>
      <w:tr>
        <w:trPr/>
        <w:tc>
          <w:tcPr>
            <w:tcW w:w="52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(3,959</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(7,168</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(6,919</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86" w:type="dxa"/>
            <w:tcBorders/>
            <w:shd w:fill="CCEEFF" w:val="clear"/>
            <w:vAlign w:val="center"/>
          </w:tcPr>
          <w:p>
            <w:pPr>
              <w:pStyle w:val="TableContents"/>
              <w:bidi w:val="0"/>
              <w:spacing w:before="0" w:after="283"/>
              <w:jc w:val="left"/>
              <w:rPr/>
            </w:pPr>
            <w:r>
              <w:rPr/>
              <w:t> </w:t>
            </w:r>
          </w:p>
        </w:tc>
      </w:tr>
      <w:tr>
        <w:trPr/>
        <w:tc>
          <w:tcPr>
            <w:tcW w:w="52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pPr>
            <w:r>
              <w:rPr/>
              <w: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52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(7,397</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(7,184</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continuing operations, net of income taxes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(7,397</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(7,184</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discontinued operations, net of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3,471</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774</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(491</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(6,623</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(8,756</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 per share,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discontinued operations per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(0.74</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9,160,187</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7,674,910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9,003,236</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7,564,523</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comploss"/>
      <w:bookmarkEnd w:id="7"/>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Comprehensive Loss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560"/>
        <w:gridCol w:w="60"/>
        <w:gridCol w:w="235"/>
        <w:gridCol w:w="745"/>
        <w:gridCol w:w="150"/>
        <w:gridCol w:w="113"/>
        <w:gridCol w:w="235"/>
        <w:gridCol w:w="1028"/>
        <w:gridCol w:w="80"/>
        <w:gridCol w:w="60"/>
        <w:gridCol w:w="194"/>
        <w:gridCol w:w="846"/>
        <w:gridCol w:w="124"/>
        <w:gridCol w:w="93"/>
        <w:gridCol w:w="194"/>
        <w:gridCol w:w="846"/>
        <w:gridCol w:w="80"/>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5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loss(1)</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(6,623</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adjustments(1)</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5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5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(6,681</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8"/>
        <w:gridCol w:w="60"/>
        <w:gridCol w:w="60"/>
        <w:gridCol w:w="845"/>
        <w:gridCol w:w="60"/>
        <w:gridCol w:w="60"/>
        <w:gridCol w:w="220"/>
        <w:gridCol w:w="460"/>
        <w:gridCol w:w="60"/>
        <w:gridCol w:w="60"/>
        <w:gridCol w:w="60"/>
        <w:gridCol w:w="950"/>
        <w:gridCol w:w="80"/>
        <w:gridCol w:w="60"/>
        <w:gridCol w:w="220"/>
        <w:gridCol w:w="460"/>
        <w:gridCol w:w="60"/>
        <w:gridCol w:w="60"/>
        <w:gridCol w:w="143"/>
        <w:gridCol w:w="801"/>
        <w:gridCol w:w="60"/>
        <w:gridCol w:w="60"/>
        <w:gridCol w:w="158"/>
        <w:gridCol w:w="957"/>
        <w:gridCol w:w="80"/>
        <w:gridCol w:w="60"/>
        <w:gridCol w:w="326"/>
        <w:gridCol w:w="1032"/>
        <w:gridCol w:w="80"/>
        <w:gridCol w:w="60"/>
        <w:gridCol w:w="195"/>
        <w:gridCol w:w="925"/>
        <w:gridCol w:w="85"/>
      </w:tblGrid>
      <w:tr>
        <w:trPr/>
        <w:tc>
          <w:tcPr>
            <w:tcW w:w="1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12"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2026</w:t>
            </w:r>
          </w:p>
        </w:tc>
        <w:tc>
          <w:tcPr>
            <w:tcW w:w="85" w:type="dxa"/>
            <w:tcBorders/>
            <w:shd w:fill="FFFF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85" w:type="dxa"/>
            <w:tcBorders/>
            <w:shd w:fill="FFFF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5" w:type="dxa"/>
            <w:tcBorders/>
            <w:shd w:fill="FFFFFF" w:val="clear"/>
            <w:vAlign w:val="center"/>
          </w:tcPr>
          <w:p>
            <w:pPr>
              <w:pStyle w:val="TableContents"/>
              <w:bidi w:val="0"/>
              <w:spacing w:before="0" w:after="283"/>
              <w:jc w:val="left"/>
              <w:rPr/>
            </w:pPr>
            <w:r>
              <w:rPr/>
              <w:t> </w:t>
            </w:r>
          </w:p>
        </w:tc>
      </w:tr>
      <w:tr>
        <w:trPr/>
        <w:tc>
          <w:tcPr>
            <w:tcW w:w="13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BALANCE—April 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10,818,910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(736,793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9,525</w:t>
            </w:r>
          </w:p>
        </w:tc>
        <w:tc>
          <w:tcPr>
            <w:tcW w:w="85" w:type="dxa"/>
            <w:tcBorders/>
            <w:shd w:fill="CCEE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series AA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w:t>
            </w:r>
          </w:p>
        </w:tc>
        <w:tc>
          <w:tcPr>
            <w:tcW w:w="85" w:type="dxa"/>
            <w:tcBorders/>
            <w:shd w:fill="CCEE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3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pPr>
            <w:r>
              <w:rPr>
                <w:rStyle w:val="Emphasis"/>
              </w:rPr>
              <w:t>—</w:t>
            </w:r>
          </w:p>
        </w:tc>
        <w:tc>
          <w:tcPr>
            <w:tcW w:w="85" w:type="dxa"/>
            <w:tcBorders/>
            <w:shd w:fill="CCEE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85" w:type="dxa"/>
            <w:tcBorders/>
            <w:shd w:fill="FFFFFF" w:val="clear"/>
            <w:vAlign w:val="center"/>
          </w:tcPr>
          <w:p>
            <w:pPr>
              <w:pStyle w:val="TableContents"/>
              <w:bidi w:val="0"/>
              <w:spacing w:before="0" w:after="283"/>
              <w:jc w:val="left"/>
              <w:rPr/>
            </w:pPr>
            <w:r>
              <w:rPr/>
              <w:t> </w:t>
            </w:r>
          </w:p>
        </w:tc>
      </w:tr>
      <w:tr>
        <w:trPr/>
        <w:tc>
          <w:tcPr>
            <w:tcW w:w="13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5" w:type="dxa"/>
            <w:tcBorders/>
            <w:shd w:fill="CCEE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10,879,410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(737,284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12,615</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08"/>
        <w:gridCol w:w="60"/>
        <w:gridCol w:w="60"/>
        <w:gridCol w:w="950"/>
        <w:gridCol w:w="80"/>
        <w:gridCol w:w="60"/>
        <w:gridCol w:w="220"/>
        <w:gridCol w:w="460"/>
        <w:gridCol w:w="60"/>
        <w:gridCol w:w="60"/>
        <w:gridCol w:w="177"/>
        <w:gridCol w:w="990"/>
        <w:gridCol w:w="60"/>
        <w:gridCol w:w="60"/>
        <w:gridCol w:w="158"/>
        <w:gridCol w:w="957"/>
        <w:gridCol w:w="80"/>
        <w:gridCol w:w="60"/>
        <w:gridCol w:w="459"/>
        <w:gridCol w:w="1455"/>
        <w:gridCol w:w="80"/>
        <w:gridCol w:w="60"/>
        <w:gridCol w:w="228"/>
        <w:gridCol w:w="1080"/>
        <w:gridCol w:w="83"/>
      </w:tblGrid>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4"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 2025</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Stockholders’</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BALANCE—April 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8,748,741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(715,573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27,039</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1,384,551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(119,533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ind w:left="0" w:right="0" w:hanging="0"/>
              <w:jc w:val="left"/>
              <w:rPr/>
            </w:pPr>
            <w:r>
              <w:rPr/>
              <w:t> </w:t>
            </w:r>
          </w:p>
        </w:tc>
        <w:tc>
          <w:tcPr>
            <w:tcW w:w="14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1,766</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10,013,759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(720,433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24,293</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8"/>
        <w:gridCol w:w="60"/>
        <w:gridCol w:w="60"/>
        <w:gridCol w:w="845"/>
        <w:gridCol w:w="60"/>
        <w:gridCol w:w="60"/>
        <w:gridCol w:w="220"/>
        <w:gridCol w:w="460"/>
        <w:gridCol w:w="60"/>
        <w:gridCol w:w="60"/>
        <w:gridCol w:w="60"/>
        <w:gridCol w:w="950"/>
        <w:gridCol w:w="80"/>
        <w:gridCol w:w="60"/>
        <w:gridCol w:w="220"/>
        <w:gridCol w:w="460"/>
        <w:gridCol w:w="60"/>
        <w:gridCol w:w="60"/>
        <w:gridCol w:w="143"/>
        <w:gridCol w:w="801"/>
        <w:gridCol w:w="60"/>
        <w:gridCol w:w="60"/>
        <w:gridCol w:w="158"/>
        <w:gridCol w:w="957"/>
        <w:gridCol w:w="80"/>
        <w:gridCol w:w="60"/>
        <w:gridCol w:w="326"/>
        <w:gridCol w:w="1032"/>
        <w:gridCol w:w="80"/>
        <w:gridCol w:w="60"/>
        <w:gridCol w:w="195"/>
        <w:gridCol w:w="925"/>
        <w:gridCol w:w="85"/>
      </w:tblGrid>
      <w:tr>
        <w:trPr/>
        <w:tc>
          <w:tcPr>
            <w:tcW w:w="1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12"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2026</w:t>
            </w:r>
          </w:p>
        </w:tc>
        <w:tc>
          <w:tcPr>
            <w:tcW w:w="85" w:type="dxa"/>
            <w:tcBorders/>
            <w:shd w:fill="FFFF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85" w:type="dxa"/>
            <w:tcBorders/>
            <w:shd w:fill="FFFF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5" w:type="dxa"/>
            <w:tcBorders/>
            <w:shd w:fill="FFFFFF" w:val="clear"/>
            <w:vAlign w:val="center"/>
          </w:tcPr>
          <w:p>
            <w:pPr>
              <w:pStyle w:val="TableContents"/>
              <w:bidi w:val="0"/>
              <w:spacing w:before="0" w:after="283"/>
              <w:jc w:val="left"/>
              <w:rPr/>
            </w:pPr>
            <w:r>
              <w:rPr/>
              <w:t> </w:t>
            </w:r>
          </w:p>
        </w:tc>
      </w:tr>
      <w:tr>
        <w:trPr/>
        <w:tc>
          <w:tcPr>
            <w:tcW w:w="13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10,027,046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15,210</w:t>
            </w:r>
          </w:p>
        </w:tc>
        <w:tc>
          <w:tcPr>
            <w:tcW w:w="85" w:type="dxa"/>
            <w:tcBorders/>
            <w:shd w:fill="CCEE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(6,623</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series AA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w:t>
            </w:r>
          </w:p>
        </w:tc>
        <w:tc>
          <w:tcPr>
            <w:tcW w:w="85" w:type="dxa"/>
            <w:tcBorders/>
            <w:shd w:fill="CCEE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13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pPr>
            <w:r>
              <w:rPr>
                <w:rStyle w:val="Emphasis"/>
              </w:rPr>
              <w:t>—</w:t>
            </w:r>
          </w:p>
        </w:tc>
        <w:tc>
          <w:tcPr>
            <w:tcW w:w="85" w:type="dxa"/>
            <w:tcBorders/>
            <w:shd w:fill="CCEEFF" w:val="clear"/>
            <w:vAlign w:val="center"/>
          </w:tcPr>
          <w:p>
            <w:pPr>
              <w:pStyle w:val="TableContents"/>
              <w:bidi w:val="0"/>
              <w:spacing w:before="0" w:after="283"/>
              <w:jc w:val="left"/>
              <w:rPr/>
            </w:pPr>
            <w:r>
              <w:rPr/>
              <w:t> </w:t>
            </w:r>
          </w:p>
        </w:tc>
      </w:tr>
      <w:tr>
        <w:trPr/>
        <w:tc>
          <w:tcPr>
            <w:tcW w:w="1348"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85" w:type="dxa"/>
            <w:tcBorders/>
            <w:shd w:fill="FFFFFF" w:val="clear"/>
            <w:vAlign w:val="center"/>
          </w:tcPr>
          <w:p>
            <w:pPr>
              <w:pStyle w:val="TableContents"/>
              <w:bidi w:val="0"/>
              <w:spacing w:before="0" w:after="283"/>
              <w:jc w:val="left"/>
              <w:rPr/>
            </w:pPr>
            <w:r>
              <w:rPr/>
              <w:t> </w:t>
            </w:r>
          </w:p>
        </w:tc>
      </w:tr>
      <w:tr>
        <w:trPr/>
        <w:tc>
          <w:tcPr>
            <w:tcW w:w="13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10,879,410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(737,284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12,615</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8"/>
        <w:gridCol w:w="60"/>
        <w:gridCol w:w="60"/>
        <w:gridCol w:w="950"/>
        <w:gridCol w:w="80"/>
        <w:gridCol w:w="60"/>
        <w:gridCol w:w="220"/>
        <w:gridCol w:w="460"/>
        <w:gridCol w:w="60"/>
        <w:gridCol w:w="60"/>
        <w:gridCol w:w="177"/>
        <w:gridCol w:w="990"/>
        <w:gridCol w:w="60"/>
        <w:gridCol w:w="60"/>
        <w:gridCol w:w="158"/>
        <w:gridCol w:w="957"/>
        <w:gridCol w:w="80"/>
        <w:gridCol w:w="60"/>
        <w:gridCol w:w="459"/>
        <w:gridCol w:w="1455"/>
        <w:gridCol w:w="80"/>
        <w:gridCol w:w="60"/>
        <w:gridCol w:w="228"/>
        <w:gridCol w:w="1080"/>
        <w:gridCol w:w="83"/>
      </w:tblGrid>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4"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2025</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(711,677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30,017</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ind w:left="0" w:right="0" w:hanging="0"/>
              <w:jc w:val="left"/>
              <w:rPr/>
            </w:pPr>
            <w:r>
              <w:rPr/>
              <w:t> </w:t>
            </w:r>
          </w:p>
        </w:tc>
        <w:tc>
          <w:tcPr>
            <w:tcW w:w="14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ind w:left="0" w:right="0" w:hanging="0"/>
              <w:jc w:val="left"/>
              <w:rPr/>
            </w:pPr>
            <w:r>
              <w:rPr/>
              <w:t> </w:t>
            </w:r>
          </w:p>
        </w:tc>
        <w:tc>
          <w:tcPr>
            <w:tcW w:w="14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2,549</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10,013,759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(720,433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24,293</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cashflows"/>
      <w:bookmarkEnd w:id="9"/>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center"/>
        <w:rPr>
          <w:caps w:val="false"/>
          <w:smallCaps w:val="false"/>
        </w:rPr>
      </w:pPr>
      <w:r>
        <w:rPr>
          <w:caps w:val="false"/>
          <w:smallCaps w:val="false"/>
        </w:rPr>
        <w:t> </w:t>
      </w:r>
    </w:p>
    <w:tbl>
      <w:tblPr>
        <w:tblW w:w="8128" w:type="dxa"/>
        <w:jc w:val="left"/>
        <w:tblInd w:w="0" w:type="dxa"/>
        <w:tblLayout w:type="fixed"/>
        <w:tblCellMar>
          <w:top w:w="0" w:type="dxa"/>
          <w:left w:w="0" w:type="dxa"/>
          <w:bottom w:w="0" w:type="dxa"/>
          <w:right w:w="0" w:type="dxa"/>
        </w:tblCellMar>
      </w:tblPr>
      <w:tblGrid>
        <w:gridCol w:w="6020"/>
        <w:gridCol w:w="60"/>
        <w:gridCol w:w="143"/>
        <w:gridCol w:w="750"/>
        <w:gridCol w:w="104"/>
        <w:gridCol w:w="78"/>
        <w:gridCol w:w="143"/>
        <w:gridCol w:w="750"/>
        <w:gridCol w:w="80"/>
      </w:tblGrid>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(6,623</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(8,756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discontinued operations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774</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(7,397</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deferred financing cost and debt discounts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731</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588</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pPr>
            <w:r>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(295</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equity investment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Accounts receivable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Inventory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Accounts payable, accrued and other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1,478</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operating activities in continuing operations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(5,207</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provided by (used in) operating activities in discontinued operations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5,282</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fixed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investing activities in continuing operations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investing activities in discontinued operations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FINANCING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preferred stock</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3,224</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Repayment on seller notes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from MidCap credit facilities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9,489</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23,424</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for MidCap credit facilities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(14,521</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Insurance obligation payments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(517</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Insurance financing proceeds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706</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provided by financing activities in continuing operations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(2,325</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388</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in financing activities in discontinued operations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(2,325</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388</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effect on cash and restricted cash</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change in cash and restricted cash for the period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(2,320</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(7,457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restricted cash at beginning of year</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6,002</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19,143</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3,682</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11,686</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RECONCILIATION OF CASH AND RESTRICTED CASH:</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10,495</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cash—Prepaid and other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1,006</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1,061</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cash—Other non-current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CASH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3,682</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11,686</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0" w:name="notes"/>
      <w:bookmarkEnd w:id="10"/>
      <w:r>
        <w:rPr>
          <w:rFonts w:ascii="Times New Roman;Times;serif" w:hAnsi="Times New Roman;Times;serif"/>
          <w:b/>
          <w:sz w:val="20"/>
        </w:rPr>
        <w:t xml:space="preserve">Aterian, Inc.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Notes to Condensed Consolidated Financial Statements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 the Three and Six Months Ended June 30, 2026 and 2025 (Unaudited)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the Company completed a strategic sale of substantially all of its marquee consumer brands pursuant to the Asset Purchase Agreement described below (the “Asset Sale”).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assets and liabilities associated with the Asset Sale met the criteria for held-for-sale treatment and are presented as Assets Held for Sale and Liabilities Associated with Assets Held for Sale on the Condensed Consolidated Balance Sheets. Furthermore, the historical operating results and cash flows of these divested assets are classified as Discontinued Operations in the Condensed Consolidated Statements of Operations and cash flows for all periods presented. Following the Asset Sale, the Company's ongoing continuing operations consist primarily of its remaining legacy brands, including Vremi and Xtava.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Headquartered in New Jersey, the Company also maintains offices in China, the Philippines, and the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Asset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the Company completed the sale of substantially all of its assets to Trademark Global, LLC ("Trademark Global"), pursuant to the Asset Purchase Agreement, dated as of </w:t>
      </w:r>
      <w:r>
        <w:rPr>
          <w:rStyle w:val="Emphasis"/>
          <w:rFonts w:ascii="Times New Roman" w:hAnsi="Times New Roman"/>
          <w:caps w:val="false"/>
          <w:smallCaps w:val="false"/>
          <w:sz w:val="20"/>
        </w:rPr>
        <w:t>April 27, 2026 (</w:t>
      </w:r>
      <w:r>
        <w:rPr>
          <w:rFonts w:ascii="Times New Roman" w:hAnsi="Times New Roman"/>
          <w:caps w:val="false"/>
          <w:smallCaps w:val="false"/>
          <w:sz w:val="20"/>
        </w:rPr>
        <w:t>the "Asset Purchase Agreement"). Pursuant to the Asset Purchase Agreement, Trademark Global acquired certain specified assets and liabilities of the Company, including, among other things, assets associated with the Company’s marquee consumer brands: Mueller Living, PurSteam, hOmeLabs, Squatty Potty, Healing Solutions, and Photo Paper Direct for $18.0 million in cash, subject to certain purchase price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the Company completed its previously announced sale of preferred stock to David E. Lazar (“Lazar”), pursuant to that certain Securities Purchase Agreement, dated as of </w:t>
      </w:r>
      <w:r>
        <w:rPr>
          <w:rStyle w:val="Emphasis"/>
          <w:rFonts w:ascii="Times New Roman" w:hAnsi="Times New Roman"/>
          <w:caps w:val="false"/>
          <w:smallCaps w:val="false"/>
          <w:sz w:val="20"/>
        </w:rPr>
        <w:t>April 27, 2026 (</w:t>
      </w:r>
      <w:r>
        <w:rPr>
          <w:rFonts w:ascii="Times New Roman" w:hAnsi="Times New Roman"/>
          <w:caps w:val="false"/>
          <w:smallCaps w:val="false"/>
          <w:sz w:val="20"/>
        </w:rPr>
        <w:t xml:space="preserve">the “Securities Purchase Agreement”). Pursuant to the Securities Purchase Agreement, Lazar purchased from the Company (a) 1,750,000 shares of Series AA Convertible Non-Redeemable Preferred Stock, par value $0.0001 per share, of the Company (the “Series AA Preferred Stock” and such purchased shares, the “Series AA Preferred Shares”), the closing of which occurred on </w:t>
      </w:r>
      <w:r>
        <w:rPr>
          <w:rStyle w:val="Emphasis"/>
          <w:rFonts w:ascii="Times New Roman" w:hAnsi="Times New Roman"/>
          <w:caps w:val="false"/>
          <w:smallCaps w:val="false"/>
          <w:sz w:val="20"/>
        </w:rPr>
        <w:t>April 27, 2026 (</w:t>
      </w:r>
      <w:r>
        <w:rPr>
          <w:rFonts w:ascii="Times New Roman" w:hAnsi="Times New Roman"/>
          <w:caps w:val="false"/>
          <w:smallCaps w:val="false"/>
          <w:sz w:val="20"/>
        </w:rPr>
        <w:t xml:space="preserve">the “Initial SPA Closing”), and (b) 1,750,000 shares of Series AAA Convertible Non-Redeemable Preferred Stock, par value $0.0001 per share, of the Company (the “Series AAA Preferred Stock” and together with the Series AA Preferred Stock, the “Preferred Stock” and such purchased shares, the “Series AAA Preferred Shares” and together with the Series AA Preferred Shares, the “Purchased Shares”), the closing of which occurred on </w:t>
      </w:r>
      <w:r>
        <w:rPr>
          <w:rStyle w:val="Emphasis"/>
          <w:rFonts w:ascii="Times New Roman" w:hAnsi="Times New Roman"/>
          <w:caps w:val="false"/>
          <w:smallCaps w:val="false"/>
          <w:sz w:val="20"/>
        </w:rPr>
        <w:t>July 17, 2026 (</w:t>
      </w:r>
      <w:r>
        <w:rPr>
          <w:rFonts w:ascii="Times New Roman" w:hAnsi="Times New Roman"/>
          <w:caps w:val="false"/>
          <w:smallCaps w:val="false"/>
          <w:sz w:val="20"/>
        </w:rPr>
        <w:t xml:space="preserve">the “Second SPA Closing”), in each case at a purchase price of $2.00 per share of Preferred Stock for aggregate gross proceeds of $7.0 million, subject to the terms and conditions of the Securities Purchase Agreement (the “Stock Sale,” and together with the Asset Sale, the “Aterian Transactions”). As the Company received the requisite approvals at the Special Meeting (as defined below), each (i) Series AA Preferred Share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converted into 7.7 shares of the Company's common stock, par value $0.0001 per share (the "common stock"), which number is based on a conversion price of $0.25974, as determined in accordance with the terms of the Securities Purchase Agreement, and (ii) Series AAA Preferred Share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converted into 135.1 shares of common stock, which number is based on a conversion price of $0.0148, as determined in accordance with the terms of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Accounting Standards Codification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Presentation of Financial Statements - Going Concern, management evaluated whether there are conditions and events that raise substantial doubt about the Company’s ability to continue as a going concern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date these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Since inception, the Company has incurred significant losses and used cash flows from operations to fund its enterprise. To preserve liquidity, management implemented fixed cost reduction plans in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January 2026. </w:t>
      </w:r>
      <w:r>
        <w:rPr>
          <w:rFonts w:ascii="Times New Roman" w:hAnsi="Times New Roman"/>
          <w:caps w:val="false"/>
          <w:smallCaps w:val="false"/>
          <w:sz w:val="20"/>
        </w:rPr>
        <w:t>However, these actions were insufficient to fully offset macroeconomic pressures, such as tariffs, geopolitical instabilities, rising costs for raw materials and shipping, higher marketplace fees, and reduced consumer spending, which continued to negatively impact operating results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27, 2026, </w:t>
      </w:r>
      <w:r>
        <w:rPr>
          <w:rFonts w:ascii="Times New Roman" w:hAnsi="Times New Roman"/>
          <w:caps w:val="false"/>
          <w:smallCaps w:val="false"/>
          <w:sz w:val="20"/>
        </w:rPr>
        <w:t xml:space="preserve">the Company entered into a series of definitive agreements (the "Aterian Transactions"), to restructure its operations and capital position. These agreements included the Asset Purchase Agreement with Trademark Global to sell marquee brands, including Mueller Living, PurSteam, hOmeLabs, Squatty Potty, Healing Solutions, and Photo Paper Direct, for $18.0 million in cash, subject to purchase price adjustments, and the Securities Purchase Agreement with Lazar for the issuance of Series AA Preferred Stock and Series AAA Preferred Stock for aggregate gross proceeds of $7.0 million.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received gross proceeds of $3.5 million from the issuance of the Series AA Preferred Stock, which were offset by approximately $0.3 million of transaction costs recorded as a reduction to additional paid-in capital, resulting in net proceeds of approximately $3.2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25, 2026, </w:t>
      </w:r>
      <w:r>
        <w:rPr>
          <w:rFonts w:ascii="Times New Roman" w:hAnsi="Times New Roman"/>
          <w:caps w:val="false"/>
          <w:smallCaps w:val="false"/>
          <w:sz w:val="20"/>
        </w:rPr>
        <w:t xml:space="preserve">in connection with the Asset Sale to Trademark Global, LLC and the Securities Purchase Agreement with David E. Lazar, the Board of Directors of the Company conditionally declared a dividend in the form of contingent value rights. The contingent value rights were declared to record holders as of the close of business on </w:t>
      </w:r>
      <w:r>
        <w:rPr>
          <w:rStyle w:val="Emphasis"/>
          <w:rFonts w:ascii="Times New Roman" w:hAnsi="Times New Roman"/>
          <w:caps w:val="false"/>
          <w:smallCaps w:val="false"/>
          <w:sz w:val="20"/>
        </w:rPr>
        <w:t xml:space="preserve">July 8, 2026, </w:t>
      </w:r>
      <w:r>
        <w:rPr>
          <w:rFonts w:ascii="Times New Roman" w:hAnsi="Times New Roman"/>
          <w:caps w:val="false"/>
          <w:smallCaps w:val="false"/>
          <w:sz w:val="20"/>
        </w:rPr>
        <w:t xml:space="preserve">comprising holders of the Company’s common stock, par value $0.0001 per share, and holders of certain unexercised participating warrants to purchase common stock. Each eligible holder is entitled to receive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contingent value right for each share of common stock held or issuable upon exercise of participating warrants as of the record date. Shares of Series AA and Series AAA Convertible Non-Redeemable Preferred Stock are expressly excluded from participating in the distribution. Because the payment of the dividend remained subject to unfulfilled conditions precedent, including stockholder approval and the closing of the transactions, and remained subject to revocation by the Board as of </w:t>
      </w:r>
      <w:r>
        <w:rPr>
          <w:rStyle w:val="Emphasis"/>
          <w:rFonts w:ascii="Times New Roman" w:hAnsi="Times New Roman"/>
          <w:caps w:val="false"/>
          <w:smallCaps w:val="false"/>
          <w:sz w:val="20"/>
        </w:rPr>
        <w:t>June 30, 2026, no</w:t>
      </w:r>
      <w:r>
        <w:rPr>
          <w:rFonts w:ascii="Times New Roman" w:hAnsi="Times New Roman"/>
          <w:caps w:val="false"/>
          <w:smallCaps w:val="false"/>
          <w:sz w:val="20"/>
        </w:rPr>
        <w:t xml:space="preserve"> liability or reduction of equity was recognized in the condensed consolidated financial statements for the period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following the receipt of stockholder approval at a special meeting of stockholders, the Company completed both the Asset Sale to Trademark Global, LLC and the Stock Sale to Lazar. Upon the closing of the Stock Sale, Lazar became the beneficial owner of approximately 95.8% of the Company's issued and outstanding voting securities, constituting a change in control, and was appointed as Chief Executive Officer. Concurrently, all outstanding indebtedness under the Credit and Security Agreement with MidCap Funding IV Trust was repaid in full, all commitments thereunder were terminated, and all associated guarantees and liens were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following approval by the Company's stockholders at a special meeting, the Company completed the Asset Sale to Trademark Global for $18.0 million in cash, subject to purchase price adjustments, and completed the issuance and sale of 1,750,000 shares of Series AAA Convertible Non-Redeemable Preferred Stock to Lazar for aggregate proceeds of $3.5 million. In connection with the closing of these transactions, the Company entered into a Contingent Value Rights Agreement with Broadridge Corporate Issuer Solutions, LLC, as Rights Agent, 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Each contingent value right represents a non-transferable contractual right to receive pro rata cash distributions derived from specified future proceeds, including net proceeds from the Asset Sale after satisfaction of certain indebtedness and transaction costs, setting aside $1.0 million for ongoing operational expenses, and establishing up to $6.0 million in reserves for specified liabilities. Additional potential proceeds include any remaining amounts from the specified liability reserves upon full satisfaction of such liabilities, net proceeds from future sales of remaining legacy assets and inventory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acquired by Trademark Global, and net proceeds from tax or tariff refunds, drawbacks, customs claims, or released restricted cash and escrow amounts held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Board established </w:t>
      </w:r>
      <w:r>
        <w:rPr>
          <w:rStyle w:val="Emphasis"/>
          <w:rFonts w:ascii="Times New Roman" w:hAnsi="Times New Roman"/>
          <w:caps w:val="false"/>
          <w:smallCaps w:val="false"/>
          <w:sz w:val="20"/>
        </w:rPr>
        <w:t>August 17, 2026 </w:t>
      </w:r>
      <w:r>
        <w:rPr>
          <w:rFonts w:ascii="Times New Roman" w:hAnsi="Times New Roman"/>
          <w:caps w:val="false"/>
          <w:smallCaps w:val="false"/>
          <w:sz w:val="20"/>
        </w:rPr>
        <w:t xml:space="preserve">as the distribution date of the contingent value rights to record holders. Upon the closing of the transactions 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the condition precedent was satisfied. Consequently, the contingent value right obligation will be measured at fair value as of the effective date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recognized as a distribution from equity, within retained earnings or additional paid-in capital, with a corresponding contingent value right liability or equity instrument as evaluated under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contingent value rights represent contractual payment rights only,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carry voting or dividend rights, accrue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interest,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equity ownership in the Company.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consummation of the Aterian Transactions, the Company will continue to operate its remaining legacy brands, primarily Vremi and Xtava. Management intends to utilize remaining net proceeds to support working capital for these ongoing 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the completion of the Aterian Transactions eliminated senior debt obligations and provided immediate capital, the Company's retained legacy business operations remain limited in scale. The ongoing macroeconomic challenges, potential operational cash burn associated with scaling the remaining brands, and execution risks regarding the streamlined growth strategy continue to create uncertainty regarding future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Based on these factors, management concluded that these conditions continue to raise substantial doubt about the Company’s ability to continue as a going concern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date these Condensed Consolidated Financial Statements are issued. Management’s ongoing plans include driving operational efficiencies across the retained business, optimizing supply chain expenditures, and evaluating additional strategic alternatives. The accompanying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that might result from the outcome of this uncertainty.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b/>
          <w:caps w:val="false"/>
          <w:smallCaps w:val="false"/>
          <w:sz w:val="20"/>
        </w:rPr>
        <w:t>Nasdaq Listing—</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9, 2025, </w:t>
      </w:r>
      <w:r>
        <w:rPr>
          <w:rFonts w:ascii="Times New Roman" w:hAnsi="Times New Roman"/>
          <w:caps w:val="false"/>
          <w:smallCaps w:val="false"/>
          <w:sz w:val="20"/>
        </w:rPr>
        <w:t xml:space="preserve">the Company received a letter from the Listing Qualifications Staff of The Nasdaq Stock Market LLC (“Nasdaq”) indicating that, based upon the closing bid price of the Company’s common stock, for the last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consecutive business days,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in compliance with the requirement to maintain a minimum bid price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for continued listing on The Nasdaq Capital Market, as set forth in Nasdaq Listing Rule </w:t>
      </w:r>
      <w:r>
        <w:rPr>
          <w:rStyle w:val="Emphasis"/>
          <w:rFonts w:ascii="Times New Roman" w:hAnsi="Times New Roman"/>
          <w:caps w:val="false"/>
          <w:smallCaps w:val="false"/>
          <w:sz w:val="20"/>
        </w:rPr>
        <w:t>5550</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(the “Bid Price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19, 2026, </w:t>
      </w:r>
      <w:r>
        <w:rPr>
          <w:rFonts w:ascii="Times New Roman" w:hAnsi="Times New Roman"/>
          <w:caps w:val="false"/>
          <w:smallCaps w:val="false"/>
          <w:sz w:val="20"/>
        </w:rPr>
        <w:t xml:space="preserve">Nasdaq notified the Company in the Compliance Notice that from </w:t>
      </w:r>
      <w:r>
        <w:rPr>
          <w:rStyle w:val="Emphasis"/>
          <w:rFonts w:ascii="Times New Roman" w:hAnsi="Times New Roman"/>
          <w:caps w:val="false"/>
          <w:smallCaps w:val="false"/>
          <w:sz w:val="20"/>
        </w:rPr>
        <w:t>May 1, 2026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May 18, 2026 </w:t>
      </w:r>
      <w:r>
        <w:rPr>
          <w:rFonts w:ascii="Times New Roman" w:hAnsi="Times New Roman"/>
          <w:caps w:val="false"/>
          <w:smallCaps w:val="false"/>
          <w:sz w:val="20"/>
        </w:rPr>
        <w:t xml:space="preserve">the closing bid price of the Company’s common stock had been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or greater and, accordingly, the Company had regained compliance with Nasdaq Listing Rule </w:t>
      </w:r>
      <w:r>
        <w:rPr>
          <w:rStyle w:val="Emphasis"/>
          <w:rFonts w:ascii="Times New Roman" w:hAnsi="Times New Roman"/>
          <w:caps w:val="false"/>
          <w:smallCaps w:val="false"/>
          <w:sz w:val="20"/>
        </w:rPr>
        <w:t>5550</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and that the matter was now closed.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2.</w:t>
            </w:r>
          </w:p>
        </w:tc>
        <w:tc>
          <w:tcPr>
            <w:tcW w:w="50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—The Condensed Consolidated Financial Statements and accompanying notes have been prepared in accordance with generally accepted accounting principles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Unaudited Interim Financial Information</w:t>
      </w:r>
      <w:r>
        <w:rPr>
          <w:rFonts w:ascii="Times New Roman" w:hAnsi="Times New Roman"/>
          <w:caps w:val="false"/>
          <w:smallCaps w:val="false"/>
          <w:sz w:val="20"/>
        </w:rPr>
        <w:t>—The accompanying interim Condensed Consolidated Financial Statements are unaudited and have been prepared on the same basis as the audited consolidated financial statements and, in the opinion of management, reflect all adjustments necessary for the fair presentation of the Company's financial position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the results of its operations and its cash flows for the periods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financial data and other information disclosed in these notes related to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are also unaudited. The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to be expected for the year ending </w:t>
      </w:r>
      <w:r>
        <w:rPr>
          <w:rStyle w:val="Emphasis"/>
          <w:rFonts w:ascii="Times New Roman" w:hAnsi="Times New Roman"/>
          <w:caps w:val="false"/>
          <w:smallCaps w:val="false"/>
          <w:sz w:val="20"/>
        </w:rPr>
        <w:t xml:space="preserve">December 31, 2026, </w:t>
      </w:r>
      <w:r>
        <w:rPr>
          <w:rFonts w:ascii="Times New Roman" w:hAnsi="Times New Roman"/>
          <w:caps w:val="false"/>
          <w:smallCaps w:val="false"/>
          <w:sz w:val="20"/>
        </w:rPr>
        <w:t>any other interim periods, or any future year 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Condensed Consolidated Balance Sheet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presented herein, has been derived from the Company’s audited Consolidated Financial Statements for the fiscal year then ended. These unaudited Interim Condensed Consolidated Financial Statements should be read in conjunction with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as filed with the SEC on </w:t>
      </w:r>
      <w:r>
        <w:rPr>
          <w:rStyle w:val="Emphasis"/>
          <w:rFonts w:ascii="Times New Roman" w:hAnsi="Times New Roman"/>
          <w:caps w:val="false"/>
          <w:smallCaps w:val="false"/>
          <w:sz w:val="20"/>
        </w:rPr>
        <w:t>March 20, 2026 (</w:t>
      </w:r>
      <w:r>
        <w:rPr>
          <w:rFonts w:ascii="Times New Roman" w:hAnsi="Times New Roman"/>
          <w:caps w:val="false"/>
          <w:smallCaps w:val="false"/>
          <w:sz w:val="20"/>
        </w:rPr>
        <w:t xml:space="preserve">“Annual Report”) and have been prepared on a consistent basis with the accounting policies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Notes to Consolidated Financial Statements included in our Annual Report. Our accounting policies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other than with respect to the new accounting pronouncements adopted as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t>
      </w:r>
      <w:r>
        <w:rPr>
          <w:rFonts w:ascii="Times New Roman" w:hAnsi="Times New Roman"/>
          <w:i/>
          <w:caps w:val="false"/>
          <w:smallCaps w:val="false"/>
          <w:sz w:val="20"/>
        </w:rPr>
        <w:t>Recent Accounting Pronouncements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in accordance with U.S. GAAP for interim financial information and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Article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disclosures required by U.S. GAAP for complete financial statements. In the opinion of management, such statements include all adjustments (consisting only of normal recurring items) which are considered necessary for a fair presentation of the Condensed Consolidated financial statements of the Company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Held for sale classification</w:t>
      </w:r>
      <w:r>
        <w:rPr>
          <w:rFonts w:ascii="Times New Roman" w:hAnsi="Times New Roman"/>
          <w:caps w:val="false"/>
          <w:smallCaps w:val="false"/>
          <w:sz w:val="20"/>
        </w:rPr>
        <w:t xml:space="preserve">—We report and classify a business or a component of an entity as held-for-sale (Held-For-Sale Business) when management has approved the sale or received approval to sell the business and is committed to a formal plan, the business is available for immediate sale, the business is being actively marketed, the sale is anticipated to occur during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and certain other specified criteria are met. A Held-For-Sale Business is recorded at the lower of its carrying amount or estimated fair value less cost to sell. If the carrying amount of the business exceeds its estimated fair value, a loss is recognized.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assets and liabilities related to a Held-For-Sale Business are reported in Assets held for sale and Liabilities held for sale, respectively, in our Condensed Consolidated Balance Sheets. Refer to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Fonts w:ascii="Times New Roman" w:hAnsi="Times New Roman"/>
          <w:i/>
          <w:caps w:val="false"/>
          <w:smallCaps w:val="false"/>
          <w:sz w:val="20"/>
        </w:rPr>
        <w:t>Held for Sale Classification and Discontinued Operations Presentation</w:t>
      </w:r>
      <w:r>
        <w:rPr>
          <w:rFonts w:ascii="Times New Roman" w:hAnsi="Times New Roman"/>
          <w:caps w:val="false"/>
          <w:smallCaps w:val="false"/>
          <w:sz w:val="20"/>
        </w:rPr>
        <w:t> for additional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Discontinued operations presentation</w:t>
      </w:r>
      <w:r>
        <w:rPr>
          <w:rFonts w:ascii="Times New Roman" w:hAnsi="Times New Roman"/>
          <w:caps w:val="false"/>
          <w:smallCaps w:val="false"/>
          <w:sz w:val="20"/>
        </w:rPr>
        <w:t xml:space="preserve">—We present a business, or a component of an entity, as discontinued operations if a) it meets the held-for-sale criteria, or is disposed of by sale, or is disposed of other than by sale, and b) the disposal of the business, or component of an entity, represents a strategic shift that has (or will have) a major effect on the Company's financial results.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we have retrospectively adjusted our Condensed Consolidated Statement of Operations to reflect the classification of continuing and discontinued operations. Refer to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Fonts w:ascii="Times New Roman" w:hAnsi="Times New Roman"/>
          <w:i/>
          <w:caps w:val="false"/>
          <w:smallCaps w:val="false"/>
          <w:sz w:val="20"/>
        </w:rPr>
        <w:t>Held for Sale Classification and Discontinued Operations Presentation</w:t>
      </w:r>
      <w:r>
        <w:rPr>
          <w:rFonts w:ascii="Times New Roman" w:hAnsi="Times New Roman"/>
          <w:caps w:val="false"/>
          <w:smallCaps w:val="false"/>
          <w:sz w:val="20"/>
        </w:rPr>
        <w:t> for additional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covered by the Condensed Consolidated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Principles of Consolidation</w:t>
      </w:r>
      <w:r>
        <w:rPr>
          <w:rFonts w:ascii="Times New Roman" w:hAnsi="Times New Roman"/>
          <w:caps w:val="false"/>
          <w:smallCaps w:val="false"/>
          <w:sz w:val="20"/>
        </w:rPr>
        <w:t>—The Condensed Consolidated Financial Statements include the accounts of the Company and its wholly-owned subsidiaries.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Restricted Cash</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Company has classified the following as restricted cash: $0.1 million related to its Chinese subsidiary within “Other Non-current Assets” on the Condensed Consolidated Balance Sheets and $1.0 million related to a letter of credit within "Prepaid and Other Current Assets"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Inventory and Cost of Goods Sold</w:t>
      </w:r>
      <w:r>
        <w:rPr>
          <w:rFonts w:ascii="Times New Roman" w:hAnsi="Times New Roman"/>
          <w:caps w:val="false"/>
          <w:smallCaps w:val="false"/>
          <w:sz w:val="20"/>
        </w:rPr>
        <w:t xml:space="preserve">—The Company’s inventory consists almost entirely of finished goods. The Company currently records inventory on its balance sheet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Conversely, if we are able to sell inventories that had been written down to a level below the ultimate realized selling price in a previous period, sales would be recorded with a lower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offsetting charge to 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received $2.7 million from the U.S. Customs and Border Protection related to previously paid import duties, consisting of $2.6 million in duty refunds and $0.1 million in associated interest income. Of the duty refunds, $2.3 million was recorded as a reduction to cost of goods sold within Income (loss) from discontinued operations for inventory that had previously been sold, and $0.3 million was recorded as a reduction to the carrying value of inventory included within assets held for sale on the Condensed Consolidated Balance Sheet for unsold goods remaining on hand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$0.1 million of interest was recorded within interest income on the Condensed Consolidated Statements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Accounts Receivable</w:t>
      </w:r>
      <w:r>
        <w:rPr>
          <w:rFonts w:ascii="Times New Roman" w:hAnsi="Times New Roman"/>
          <w:caps w:val="false"/>
          <w:smallCaps w:val="false"/>
          <w:sz w:val="20"/>
        </w:rPr>
        <w:t xml:space="preserve">—Accounts receivable are stated at historical cost less allowance for credit losses.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received payments based on agreed-upon terms.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any security or collateral to support its receivables. The Company performs ongoing evaluations of its customers and maintains an allowance for credit losses.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allowance for credit losses.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caps w:val="false"/>
          <w:smallCaps w:val="false"/>
          <w:sz w:val="20"/>
        </w:rPr>
        <w:t>Revenue Recognition</w:t>
      </w:r>
      <w:r>
        <w:rPr>
          <w:rFonts w:ascii="Times New Roman" w:hAnsi="Times New Roman"/>
          <w:caps w:val="false"/>
          <w:smallCaps w:val="false"/>
          <w:sz w:val="20"/>
        </w:rPr>
        <w:t xml:space="preserve">—The Company accounts for revenue in accordance with Financial Accounting Standards Board (“FASB”) Accounting Standard Codification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(“ASC Topic </w:t>
      </w:r>
      <w:r>
        <w:rPr>
          <w:rStyle w:val="Emphasis"/>
          <w:rFonts w:ascii="Times New Roman" w:hAnsi="Times New Roman"/>
          <w:caps w:val="false"/>
          <w:smallCaps w:val="false"/>
          <w:sz w:val="20"/>
        </w:rPr>
        <w:t>606”</w:t>
      </w:r>
      <w:r>
        <w:rPr>
          <w:rFonts w:ascii="Times New Roman" w:hAnsi="Times New Roman"/>
          <w:caps w:val="false"/>
          <w:smallCaps w:val="false"/>
          <w:sz w:val="20"/>
        </w:rPr>
        <w:t>). The Company derives its revenue from the sale of consumer products. The Company sells its products directly to consumers through online retail channels and through wholesale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direct-to-consumer sales, the Company considers customer order confirmations to be a contract with the customer. Customer confirmations are executed at the time an order is placed through </w:t>
      </w:r>
      <w:r>
        <w:rPr>
          <w:rStyle w:val="Emphasis"/>
          <w:rFonts w:ascii="Times New Roman" w:hAnsi="Times New Roman"/>
          <w:caps w:val="false"/>
          <w:smallCaps w:val="false"/>
          <w:sz w:val="20"/>
        </w:rPr>
        <w:t>third</w:t>
      </w:r>
      <w:r>
        <w:rPr>
          <w:rFonts w:ascii="Times New Roman" w:hAnsi="Times New Roman"/>
          <w:caps w:val="false"/>
          <w:smallCaps w:val="false"/>
          <w:sz w:val="20"/>
        </w:rPr>
        <w:t>-party online channels. For wholesale sales, the Company considers the customer purchase order to be the contract.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which is included in liabilities held-for-sale on the Condensed Consolidated Balance Sheets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and represents the expected value of the refund that will be due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evaluated principal versus agent considerations to determine whether it is appropriate to record platform fees paid to Amazon as an expense or as a reduction of revenue. Platform fees are recorded as sales and distribution expenses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as a reduction of revenue because the Company owns and controls all the goods before they are transferred to the customer. The Company can, at any time, direct Amazon, or similarly, direct other </w:t>
      </w:r>
      <w:r>
        <w:rPr>
          <w:rStyle w:val="Emphasis"/>
          <w:rFonts w:ascii="Times New Roman" w:hAnsi="Times New Roman"/>
          <w:caps w:val="false"/>
          <w:smallCaps w:val="false"/>
          <w:sz w:val="20"/>
        </w:rPr>
        <w:t>third</w:t>
      </w:r>
      <w:r>
        <w:rPr>
          <w:rFonts w:ascii="Times New Roman" w:hAnsi="Times New Roman"/>
          <w:caps w:val="false"/>
          <w:smallCaps w:val="false"/>
          <w:sz w:val="20"/>
        </w:rPr>
        <w:t>-party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caps w:val="false"/>
          <w:smallCaps w:val="false"/>
          <w:sz w:val="20"/>
        </w:rPr>
        <w:t>Intangibles</w:t>
      </w:r>
      <w:r>
        <w:rPr>
          <w:rFonts w:ascii="Times New Roman" w:hAnsi="Times New Roman"/>
          <w:caps w:val="false"/>
          <w:smallCaps w:val="false"/>
          <w:sz w:val="20"/>
        </w:rPr>
        <w:t xml:space="preserve">—We review long-lived assets for impairment when performance expectations, events, or changes in circumstances indicate that the asset's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The evaluation is performed at the lowest level of identifiable cash flows by comparing the carrying value of the asset group to the undiscounted cash flows. If the evaluation indicates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the Company completed the sale of substantially all of its assets to Trademark Global, pursuant to the Asset Purchase Agreement, dated as of </w:t>
      </w:r>
      <w:r>
        <w:rPr>
          <w:rStyle w:val="Emphasis"/>
          <w:rFonts w:ascii="Times New Roman" w:hAnsi="Times New Roman"/>
          <w:caps w:val="false"/>
          <w:smallCaps w:val="false"/>
          <w:sz w:val="20"/>
        </w:rPr>
        <w:t xml:space="preserve">April 27, 2026. </w:t>
      </w:r>
      <w:r>
        <w:rPr>
          <w:rFonts w:ascii="Times New Roman" w:hAnsi="Times New Roman"/>
          <w:caps w:val="false"/>
          <w:smallCaps w:val="false"/>
          <w:sz w:val="20"/>
        </w:rPr>
        <w:t>Pursuant to the Asset Purchase Agreement, Trademark Global acquired certain specified assets and liabilities of the Company, including, among other things, assets associated with the Company’s marquee consumer brands: Mueller Living, PurSteam, hOmeLabs, Squatty Potty, Healing Solutions, and Photo Paper Direct for $18.0 million in cash, subject to certain purchase price adjustments.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Based on the definitive deal terms, specifically the $18.0 million base purchase price and the estimated purchase price adjustments, the Company evaluated the carrying value of its brand intangible assets.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management evaluated the carrying value of these brand intangible assets based on the finalized deal terms and expected net proceeds, and determined that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was required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Previously, the Company determined that the estimated allocated proceeds from the Asset Purchase Agreement were lower than the carrying values for certain definite-lived brand assets, and accordingly recorded a non-cash impairment charge of $3.4 million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This charge was recorded within Income (loss) from discontinued operations on the Condensed Consolidated Statement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 xml:space="preserve">—The Company’s financial instruments, including net accounts receivable, accounts payable, and accrued and other current liabilities are carried at historical cost.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carrying amounts of these instruments approximated their fair values because of their short-term nature. The Company’s credit facility is carried at amortized cost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and the carrying amount approximates fair value as the stated interest rate approximates market rates currently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the stock purchase warrants issued in connection with the Company’s common stock offering on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Distinguishing Liabilities from Equity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FASB Accounting Standards Codification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(“ASC </w:t>
      </w:r>
      <w:r>
        <w:rPr>
          <w:rStyle w:val="Emphasis"/>
          <w:rFonts w:ascii="Times New Roman" w:hAnsi="Times New Roman"/>
          <w:caps w:val="false"/>
          <w:smallCaps w:val="false"/>
          <w:sz w:val="20"/>
        </w:rPr>
        <w:t>815”</w:t>
      </w:r>
      <w:r>
        <w:rPr>
          <w:rFonts w:ascii="Times New Roman" w:hAnsi="Times New Roman"/>
          <w:caps w:val="false"/>
          <w:smallCaps w:val="false"/>
          <w:sz w:val="20"/>
        </w:rPr>
        <w:t>). Based on the Company’s evaluation and due to certain terms in the warrant agreements, it concluded the stock purchase warrants should be classified as a liability with subsequent remeasurement as long as such warrants continue to be classified as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 for disclosure of fair value measurements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1</w:t>
      </w:r>
      <w:r>
        <w:rPr>
          <w:rFonts w:ascii="Times New Roman" w:hAnsi="Times New Roman"/>
          <w:caps w:val="false"/>
          <w:smallCaps w:val="false"/>
          <w:sz w:val="20"/>
        </w:rPr>
        <w:t>—Inputs are unadjusted, quoted prices in active markets for identical assets or liabilities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2</w:t>
      </w:r>
      <w:r>
        <w:rPr>
          <w:rFonts w:ascii="Times New Roman" w:hAnsi="Times New Roman"/>
          <w:caps w:val="false"/>
          <w:smallCaps w:val="false"/>
          <w:sz w:val="20"/>
        </w:rPr>
        <w:t xml:space="preserve">—Inputs are observable, unadjusted quoted prices in active markets for similar assets or liabilities, unadjusted quoted prices for identical or similar assets or liabilities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or can be corroborated by observable market data for substantially the full term of the related assets or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3</w:t>
      </w:r>
      <w:r>
        <w:rPr>
          <w:rFonts w:ascii="Times New Roman" w:hAnsi="Times New Roman"/>
          <w:caps w:val="false"/>
          <w:smallCaps w:val="false"/>
          <w:sz w:val="20"/>
        </w:rPr>
        <w:t xml:space="preserve">—Unobservable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related assets or liabilities.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the activity of the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liabilities carried at fair value on a recurring basis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is as follows (in thousands):</w:t>
      </w:r>
    </w:p>
    <w:p>
      <w:pPr>
        <w:pStyle w:val="TextBody"/>
        <w:bidi w:val="0"/>
        <w:spacing w:before="0" w:after="0"/>
        <w:ind w:left="0" w:right="0" w:hanging="0"/>
        <w:jc w:val="left"/>
        <w:rPr>
          <w:caps w:val="false"/>
          <w:smallCaps w:val="false"/>
        </w:rPr>
      </w:pPr>
      <w:r>
        <w:rPr>
          <w:caps w:val="false"/>
          <w:smallCaps w:val="false"/>
        </w:rPr>
        <w:t> </w:t>
      </w:r>
    </w:p>
    <w:tbl>
      <w:tblPr>
        <w:tblW w:w="4629" w:type="dxa"/>
        <w:jc w:val="left"/>
        <w:tblInd w:w="0" w:type="dxa"/>
        <w:tblLayout w:type="fixed"/>
        <w:tblCellMar>
          <w:top w:w="0" w:type="dxa"/>
          <w:left w:w="0" w:type="dxa"/>
          <w:bottom w:w="0" w:type="dxa"/>
          <w:right w:w="0" w:type="dxa"/>
        </w:tblCellMar>
      </w:tblPr>
      <w:tblGrid>
        <w:gridCol w:w="3320"/>
        <w:gridCol w:w="60"/>
        <w:gridCol w:w="383"/>
        <w:gridCol w:w="806"/>
        <w:gridCol w:w="60"/>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January 1, 2026</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649" w:type="dxa"/>
        <w:jc w:val="left"/>
        <w:tblInd w:w="0" w:type="dxa"/>
        <w:tblLayout w:type="fixed"/>
        <w:tblCellMar>
          <w:top w:w="0" w:type="dxa"/>
          <w:left w:w="0" w:type="dxa"/>
          <w:bottom w:w="0" w:type="dxa"/>
          <w:right w:w="0" w:type="dxa"/>
        </w:tblCellMar>
      </w:tblPr>
      <w:tblGrid>
        <w:gridCol w:w="3320"/>
        <w:gridCol w:w="60"/>
        <w:gridCol w:w="323"/>
        <w:gridCol w:w="866"/>
        <w:gridCol w:w="80"/>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liabilities as of January 1, 2025</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liabilities as of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Equity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recognized an impairment loss of $0.1 million on its equity investment, which is included within Other expense, net in the Condensed 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Since the issuance of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updates to the recent accounting pronouncement previously disclosed.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320" w:type="dxa"/>
        <w:jc w:val="left"/>
        <w:tblInd w:w="0" w:type="dxa"/>
        <w:tblLayout w:type="fixed"/>
        <w:tblCellMar>
          <w:top w:w="0" w:type="dxa"/>
          <w:left w:w="0" w:type="dxa"/>
          <w:bottom w:w="0" w:type="dxa"/>
          <w:right w:w="0" w:type="dxa"/>
        </w:tblCellMar>
      </w:tblPr>
      <w:tblGrid>
        <w:gridCol w:w="170"/>
        <w:gridCol w:w="81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3.</w:t>
            </w:r>
          </w:p>
        </w:tc>
        <w:tc>
          <w:tcPr>
            <w:tcW w:w="8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HELD FOR SALE CLASSIFICATION AND DISCONTINUED OPERATIONS PRESENTATION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b/>
          <w:caps w:val="false"/>
          <w:smallCaps w:val="false"/>
          <w:sz w:val="20"/>
        </w:rPr>
        <w:t>Held for sale classification</w:t>
      </w:r>
      <w:r>
        <w:rPr>
          <w:rFonts w:ascii="Times New Roman" w:hAnsi="Times New Roman"/>
          <w:caps w:val="false"/>
          <w:smallCaps w:val="false"/>
          <w:sz w:val="20"/>
        </w:rPr>
        <w:t xml:space="preserve">—We report and classify a business or a component of an entity as held-for-sale (Held-For-Sale Business) when management has approved the sale or received approval to sell the business and is committed to a formal plan, the business is available for immediate sale, the business is being actively marketed, the sale is anticipated to occur during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and certain other specified criteria are met. A Held-For-Sale Business is recorded at the lower of its carrying amount or estimated fair value less cost to sell. If the carrying amount of the business exceeds its estimated fair value, a loss is recognized.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assets and liabilities related to a Held-For-Sale Business are reported in Assets held for sale and Liabilities held for sale, respectively,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summarizes the components of assets and liabilities held-for-sale on the Condensed Consolidated Balance Sheets at </w:t>
      </w:r>
      <w:r>
        <w:rPr>
          <w:rStyle w:val="Emphasis"/>
          <w:rFonts w:ascii="Times New Roman" w:hAnsi="Times New Roman"/>
          <w:caps w:val="false"/>
          <w:smallCaps w:val="false"/>
          <w:sz w:val="20"/>
        </w:rPr>
        <w:t>June 30, 2026 (</w:t>
      </w:r>
      <w:r>
        <w:rPr>
          <w:rFonts w:ascii="Times New Roman" w:hAnsi="Times New Roman"/>
          <w:caps w:val="false"/>
          <w:smallCaps w:val="false"/>
          <w:sz w:val="20"/>
        </w:rPr>
        <w:t>in thousands):</w:t>
      </w:r>
    </w:p>
    <w:p>
      <w:pPr>
        <w:pStyle w:val="TextBody"/>
        <w:bidi w:val="0"/>
        <w:spacing w:before="0" w:after="0"/>
        <w:ind w:left="0" w:right="0" w:hanging="0"/>
        <w:jc w:val="left"/>
        <w:rPr/>
      </w:pPr>
      <w:r>
        <w:rPr/>
        <w:t> </w:t>
      </w:r>
    </w:p>
    <w:tbl>
      <w:tblPr>
        <w:tblW w:w="5983" w:type="dxa"/>
        <w:jc w:val="left"/>
        <w:tblInd w:w="0" w:type="dxa"/>
        <w:tblLayout w:type="fixed"/>
        <w:tblCellMar>
          <w:top w:w="0" w:type="dxa"/>
          <w:left w:w="0" w:type="dxa"/>
          <w:bottom w:w="0" w:type="dxa"/>
          <w:right w:w="0" w:type="dxa"/>
        </w:tblCellMar>
      </w:tblPr>
      <w:tblGrid>
        <w:gridCol w:w="2945"/>
        <w:gridCol w:w="60"/>
        <w:gridCol w:w="208"/>
        <w:gridCol w:w="981"/>
        <w:gridCol w:w="60"/>
        <w:gridCol w:w="60"/>
        <w:gridCol w:w="280"/>
        <w:gridCol w:w="1329"/>
        <w:gridCol w:w="6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13,724</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 (1)</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held for sale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21,490</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held for sale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both"/>
              <w:rPr/>
            </w:pPr>
            <w:r>
              <w:rPr/>
              <w:t> </w:t>
            </w:r>
          </w:p>
        </w:tc>
        <w:tc>
          <w:tcPr>
            <w:tcW w:w="14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98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 xml:space="preserve">June 30, 2026, </w:t>
            </w:r>
            <w:r>
              <w:rPr>
                <w:rFonts w:ascii="Times New Roman;Times;serif" w:hAnsi="Times New Roman;Times;serif"/>
                <w:sz w:val="20"/>
              </w:rPr>
              <w:t xml:space="preserve">Assets Held for Sale includes the net carrying value of the Company's UK warehouse facility, consisting of land, building, and related accumulated depreciation of $0.6 million. In accordance with ASC </w:t>
            </w:r>
            <w:r>
              <w:rPr>
                <w:rStyle w:val="Emphasis"/>
                <w:rFonts w:ascii="Times New Roman;Times;serif" w:hAnsi="Times New Roman;Times;serif"/>
                <w:sz w:val="20"/>
              </w:rPr>
              <w:t>360,</w:t>
            </w:r>
            <w:r>
              <w:rPr>
                <w:rFonts w:ascii="Times New Roman;Times;serif" w:hAnsi="Times New Roman;Times;serif"/>
                <w:sz w:val="20"/>
              </w:rPr>
              <w:t xml:space="preserve"> the asset was classified as held for sale as management, having the appropriate authority, committed to a plan to sell the facility, the asset is available for immediate sale in its present condition, an active marketing program is underway to locate a buyer at a reasonable price relative to fair value, and completion of the sale is considered probable within </w:t>
            </w:r>
            <w:r>
              <w:rPr>
                <w:rStyle w:val="Emphasis"/>
                <w:rFonts w:ascii="Times New Roman;Times;serif" w:hAnsi="Times New Roman;Times;serif"/>
                <w:sz w:val="20"/>
              </w:rPr>
              <w:t>one</w:t>
            </w:r>
            <w:r>
              <w:rPr>
                <w:rFonts w:ascii="Times New Roman;Times;serif" w:hAnsi="Times New Roman;Times;serif"/>
                <w:sz w:val="20"/>
              </w:rPr>
              <w:t xml:space="preserve"> year. This asset was </w:t>
            </w:r>
            <w:r>
              <w:rPr>
                <w:rStyle w:val="Emphasis"/>
                <w:rFonts w:ascii="Times New Roman;Times;serif" w:hAnsi="Times New Roman;Times;serif"/>
                <w:sz w:val="20"/>
              </w:rPr>
              <w:t>not</w:t>
            </w:r>
            <w:r>
              <w:rPr>
                <w:rFonts w:ascii="Times New Roman;Times;serif" w:hAnsi="Times New Roman;Times;serif"/>
                <w:sz w:val="20"/>
              </w:rPr>
              <w:t xml:space="preserve"> included in the sale of assets to Trademark Global, LLC.</w:t>
            </w:r>
          </w:p>
          <w:p>
            <w:pPr>
              <w:pStyle w:val="TableContents"/>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 xml:space="preserve">June 30, 2026, </w:t>
            </w:r>
            <w:r>
              <w:rPr>
                <w:rFonts w:ascii="Times New Roman;Times;serif" w:hAnsi="Times New Roman;Times;serif"/>
                <w:sz w:val="20"/>
              </w:rPr>
              <w:t>Liabilities Held for Sale includes the mortgage secured by the UK warehouse facility with an outstanding balance of $0.2 million. Because the mortgage is directly associated with the disposal group, it has been classified as a liability held for sale in accordance with applicable accounting guidance. The mortgage will remain outstanding until the sale of the facility is completed.</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b/>
          <w:sz w:val="20"/>
        </w:rPr>
        <w:t>Discontinued operations presentation</w:t>
      </w:r>
      <w:r>
        <w:rPr>
          <w:rFonts w:ascii="Times New Roman" w:hAnsi="Times New Roman"/>
          <w:sz w:val="20"/>
        </w:rPr>
        <w:t xml:space="preserve">—We present a business, or a component of an entity, as discontinued operations if a) it meets the held-for-sale criteria, or is disposed of by sale, or is disposed of other than by sale, and b) the disposal of the business, or component of an entity, represents a strategic shift that has (or will have) a major effect on the Company's financial results. As of </w:t>
      </w:r>
      <w:r>
        <w:rPr>
          <w:rStyle w:val="Emphasis"/>
          <w:rFonts w:ascii="Times New Roman" w:hAnsi="Times New Roman"/>
          <w:sz w:val="20"/>
        </w:rPr>
        <w:t xml:space="preserve">June 30, 2026, </w:t>
      </w:r>
      <w:r>
        <w:rPr>
          <w:rFonts w:ascii="Times New Roman" w:hAnsi="Times New Roman"/>
          <w:sz w:val="20"/>
        </w:rPr>
        <w:t>we have retrospectively adjusted our Condensed Consolidated Statement of Operations to reflect the classification of continuing and discontinued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following table presents the amounts related to the operations of the Company that have been reflected in Income (loss) from discontinued operations (in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42"/>
        <w:gridCol w:w="60"/>
        <w:gridCol w:w="198"/>
        <w:gridCol w:w="938"/>
        <w:gridCol w:w="126"/>
        <w:gridCol w:w="94"/>
        <w:gridCol w:w="198"/>
        <w:gridCol w:w="938"/>
        <w:gridCol w:w="80"/>
        <w:gridCol w:w="60"/>
        <w:gridCol w:w="182"/>
        <w:gridCol w:w="860"/>
        <w:gridCol w:w="116"/>
        <w:gridCol w:w="86"/>
        <w:gridCol w:w="182"/>
        <w:gridCol w:w="860"/>
        <w:gridCol w:w="85"/>
      </w:tblGrid>
      <w:tr>
        <w:trPr/>
        <w:tc>
          <w:tcPr>
            <w:tcW w:w="51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5" w:type="dxa"/>
            <w:tcBorders/>
            <w:shd w:fill="FFFFFF" w:val="clear"/>
            <w:vAlign w:val="center"/>
          </w:tcPr>
          <w:p>
            <w:pPr>
              <w:pStyle w:val="TableContents"/>
              <w:bidi w:val="0"/>
              <w:spacing w:before="0" w:after="283"/>
              <w:jc w:val="left"/>
              <w:rPr/>
            </w:pPr>
            <w:r>
              <w:rPr/>
              <w:t> </w:t>
            </w:r>
          </w:p>
        </w:tc>
      </w:tr>
      <w:tr>
        <w:trPr/>
        <w:tc>
          <w:tcPr>
            <w:tcW w:w="51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1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r>
      <w:tr>
        <w:trPr/>
        <w:tc>
          <w:tcPr>
            <w:tcW w:w="51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13,297</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25,711</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34,671</w:t>
            </w:r>
          </w:p>
        </w:tc>
        <w:tc>
          <w:tcPr>
            <w:tcW w:w="85" w:type="dxa"/>
            <w:tcBorders/>
            <w:shd w:fill="CCEEFF" w:val="clear"/>
            <w:vAlign w:val="center"/>
          </w:tcPr>
          <w:p>
            <w:pPr>
              <w:pStyle w:val="TableContents"/>
              <w:bidi w:val="0"/>
              <w:spacing w:before="0" w:after="283"/>
              <w:jc w:val="left"/>
              <w:rPr/>
            </w:pPr>
            <w:r>
              <w:rPr/>
              <w:t> </w:t>
            </w:r>
          </w:p>
        </w:tc>
      </w:tr>
      <w:tr>
        <w:trPr/>
        <w:tc>
          <w:tcPr>
            <w:tcW w:w="51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3,016</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7,450</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14,772</w:t>
            </w:r>
          </w:p>
        </w:tc>
        <w:tc>
          <w:tcPr>
            <w:tcW w:w="85" w:type="dxa"/>
            <w:tcBorders/>
            <w:shd w:fill="FFFFFF" w:val="clear"/>
            <w:vAlign w:val="center"/>
          </w:tcPr>
          <w:p>
            <w:pPr>
              <w:pStyle w:val="TableContents"/>
              <w:bidi w:val="0"/>
              <w:spacing w:before="0" w:after="283"/>
              <w:jc w:val="left"/>
              <w:rPr/>
            </w:pPr>
            <w:r>
              <w:rPr/>
              <w:t> </w:t>
            </w:r>
          </w:p>
        </w:tc>
      </w:tr>
      <w:tr>
        <w:trPr/>
        <w:tc>
          <w:tcPr>
            <w:tcW w:w="51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10,281</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18,261</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19,899</w:t>
            </w:r>
          </w:p>
        </w:tc>
        <w:tc>
          <w:tcPr>
            <w:tcW w:w="85" w:type="dxa"/>
            <w:tcBorders/>
            <w:shd w:fill="CCEEFF" w:val="clear"/>
            <w:vAlign w:val="center"/>
          </w:tcPr>
          <w:p>
            <w:pPr>
              <w:pStyle w:val="TableContents"/>
              <w:bidi w:val="0"/>
              <w:spacing w:before="0" w:after="283"/>
              <w:jc w:val="left"/>
              <w:rPr/>
            </w:pPr>
            <w:r>
              <w:rPr/>
              <w:t> </w:t>
            </w:r>
          </w:p>
        </w:tc>
      </w:tr>
      <w:tr>
        <w:trPr/>
        <w:tc>
          <w:tcPr>
            <w:tcW w:w="51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4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6,706</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13,892</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20,946</w:t>
            </w:r>
          </w:p>
        </w:tc>
        <w:tc>
          <w:tcPr>
            <w:tcW w:w="85" w:type="dxa"/>
            <w:tcBorders/>
            <w:shd w:fill="CCEEFF" w:val="clear"/>
            <w:vAlign w:val="center"/>
          </w:tcPr>
          <w:p>
            <w:pPr>
              <w:pStyle w:val="TableContents"/>
              <w:bidi w:val="0"/>
              <w:spacing w:before="0" w:after="283"/>
              <w:jc w:val="left"/>
              <w:rPr/>
            </w:pPr>
            <w:r>
              <w:rPr/>
              <w:t> </w:t>
            </w:r>
          </w:p>
        </w:tc>
      </w:tr>
      <w:tr>
        <w:trPr/>
        <w:tc>
          <w:tcPr>
            <w:tcW w:w="514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w:t>
            </w:r>
          </w:p>
        </w:tc>
        <w:tc>
          <w:tcPr>
            <w:tcW w:w="85" w:type="dxa"/>
            <w:tcBorders/>
            <w:shd w:fill="FFFFFF" w:val="clear"/>
            <w:vAlign w:val="center"/>
          </w:tcPr>
          <w:p>
            <w:pPr>
              <w:pStyle w:val="TableContents"/>
              <w:bidi w:val="0"/>
              <w:spacing w:before="0" w:after="283"/>
              <w:jc w:val="left"/>
              <w:rPr/>
            </w:pPr>
            <w:r>
              <w:rPr/>
              <w:t> </w:t>
            </w:r>
          </w:p>
        </w:tc>
      </w:tr>
      <w:tr>
        <w:trPr/>
        <w:tc>
          <w:tcPr>
            <w:tcW w:w="5142"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intangibles(1)</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3,427</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514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 from discontinued operations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6,779</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17,457</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21,181</w:t>
            </w:r>
          </w:p>
        </w:tc>
        <w:tc>
          <w:tcPr>
            <w:tcW w:w="85" w:type="dxa"/>
            <w:tcBorders/>
            <w:shd w:fill="FFFFFF" w:val="clear"/>
            <w:vAlign w:val="center"/>
          </w:tcPr>
          <w:p>
            <w:pPr>
              <w:pStyle w:val="TableContents"/>
              <w:bidi w:val="0"/>
              <w:spacing w:before="0" w:after="283"/>
              <w:jc w:val="left"/>
              <w:rPr/>
            </w:pPr>
            <w:r>
              <w:rPr/>
              <w:t> </w:t>
            </w:r>
          </w:p>
        </w:tc>
      </w:tr>
      <w:tr>
        <w:trPr/>
        <w:tc>
          <w:tcPr>
            <w:tcW w:w="51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 from discontinued operations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3,502</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804</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(1,282</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85" w:type="dxa"/>
            <w:tcBorders/>
            <w:shd w:fill="FFFFFF" w:val="clear"/>
            <w:vAlign w:val="center"/>
          </w:tcPr>
          <w:p>
            <w:pPr>
              <w:pStyle w:val="TableContents"/>
              <w:bidi w:val="0"/>
              <w:spacing w:before="0" w:after="283"/>
              <w:jc w:val="left"/>
              <w:rPr/>
            </w:pPr>
            <w:r>
              <w:rPr/>
              <w:t> </w:t>
            </w:r>
          </w:p>
        </w:tc>
      </w:tr>
      <w:tr>
        <w:trPr/>
        <w:tc>
          <w:tcPr>
            <w:tcW w:w="51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discontinued operations before income taxes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3,478</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discontinued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3,471</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774</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(1,572</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99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the Company completed the sale of substantially all of its assets to Trademark Global, pursuant to the Asset Purchase Agreement, dated as of </w:t>
            </w:r>
            <w:r>
              <w:rPr>
                <w:rStyle w:val="Emphasis"/>
                <w:rFonts w:ascii="Times New Roman" w:hAnsi="Times New Roman"/>
                <w:caps w:val="false"/>
                <w:smallCaps w:val="false"/>
                <w:sz w:val="20"/>
              </w:rPr>
              <w:t xml:space="preserve">April 27, 2026. </w:t>
            </w:r>
            <w:r>
              <w:rPr>
                <w:rFonts w:ascii="Times New Roman" w:hAnsi="Times New Roman"/>
                <w:caps w:val="false"/>
                <w:smallCaps w:val="false"/>
                <w:sz w:val="20"/>
              </w:rPr>
              <w:t>Pursuant to the Asset Purchase Agreement, Trademark Global acquired certain specified assets and liabilities of the Company, including, among other things, assets associated with the Company’s marquee consumer brands: Mueller Living, PurSteam, hOmeLabs, Squatty Potty, Healing Solutions, and Photo Paper Direct for $18.0 million in cash, subject to certain purchase price adjustments.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Fonts w:ascii="Times New Roman" w:hAnsi="Times New Roman"/>
                <w:caps w:val="false"/>
                <w:smallCaps w:val="false"/>
                <w:sz w:val="20"/>
              </w:rPr>
              <w:t xml:space="preserve">Based on the definitive deal terms, specifically the $18.0 million base purchase price and the estimated purchase price adjustments, the Company evaluated the carrying value of its brand intangible assets.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management evaluated the carrying value of these brand intangible assets based on the finalized deal terms and expected net proceeds, and determined that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was required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Previously, the Company determined that the estimated allocated proceeds from the Asset Purchase Agreement were lower than the carrying values for certain definite-lived brand assets, and accordingly recorded a non-cash impairment charge of $3.4 million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This charge was recorded within Income (loss) from discontinued operations on the Condensed Consolidated Statement of Operations.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4.</w:t>
            </w:r>
          </w:p>
        </w:tc>
        <w:tc>
          <w:tcPr>
            <w:tcW w:w="24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ACCOUNTS RECEIVABLE</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Accounts receivable consisted of the following as of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December 31, 2025 (</w:t>
      </w:r>
      <w:r>
        <w:rPr>
          <w:rFonts w:ascii="Times New Roman;Times;serif" w:hAnsi="Times New Roman;Times;serif"/>
          <w:sz w:val="20"/>
        </w:rPr>
        <w:t>in thousands):</w:t>
      </w:r>
    </w:p>
    <w:p>
      <w:pPr>
        <w:pStyle w:val="TextBody"/>
        <w:bidi w:val="0"/>
        <w:spacing w:before="0" w:after="0"/>
        <w:ind w:left="0" w:right="0" w:hanging="0"/>
        <w:jc w:val="left"/>
        <w:rPr/>
      </w:pPr>
      <w:r>
        <w:rPr/>
        <w:t> </w:t>
      </w:r>
    </w:p>
    <w:tbl>
      <w:tblPr>
        <w:tblW w:w="5233" w:type="dxa"/>
        <w:jc w:val="left"/>
        <w:tblInd w:w="0" w:type="dxa"/>
        <w:tblLayout w:type="fixed"/>
        <w:tblCellMar>
          <w:top w:w="0" w:type="dxa"/>
          <w:left w:w="0" w:type="dxa"/>
          <w:bottom w:w="0" w:type="dxa"/>
          <w:right w:w="0" w:type="dxa"/>
        </w:tblCellMar>
      </w:tblPr>
      <w:tblGrid>
        <w:gridCol w:w="2195"/>
        <w:gridCol w:w="60"/>
        <w:gridCol w:w="383"/>
        <w:gridCol w:w="806"/>
        <w:gridCol w:w="60"/>
        <w:gridCol w:w="60"/>
        <w:gridCol w:w="522"/>
        <w:gridCol w:w="1087"/>
        <w:gridCol w:w="60"/>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855" w:type="dxa"/>
        <w:jc w:val="left"/>
        <w:tblInd w:w="0" w:type="dxa"/>
        <w:tblLayout w:type="fixed"/>
        <w:tblCellMar>
          <w:top w:w="0" w:type="dxa"/>
          <w:left w:w="0" w:type="dxa"/>
          <w:bottom w:w="0" w:type="dxa"/>
          <w:right w:w="0" w:type="dxa"/>
        </w:tblCellMar>
      </w:tblPr>
      <w:tblGrid>
        <w:gridCol w:w="170"/>
        <w:gridCol w:w="168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5.</w:t>
            </w:r>
          </w:p>
        </w:tc>
        <w:tc>
          <w:tcPr>
            <w:tcW w:w="16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INVENTORY,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Inventory consisted of the following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4573" w:type="dxa"/>
        <w:jc w:val="left"/>
        <w:tblInd w:w="0" w:type="dxa"/>
        <w:tblLayout w:type="fixed"/>
        <w:tblCellMar>
          <w:top w:w="0" w:type="dxa"/>
          <w:left w:w="0" w:type="dxa"/>
          <w:bottom w:w="0" w:type="dxa"/>
          <w:right w:w="0" w:type="dxa"/>
        </w:tblCellMar>
      </w:tblPr>
      <w:tblGrid>
        <w:gridCol w:w="1535"/>
        <w:gridCol w:w="60"/>
        <w:gridCol w:w="417"/>
        <w:gridCol w:w="772"/>
        <w:gridCol w:w="60"/>
        <w:gridCol w:w="60"/>
        <w:gridCol w:w="565"/>
        <w:gridCol w:w="1044"/>
        <w:gridCol w:w="60"/>
      </w:tblGrid>
      <w:tr>
        <w:trPr/>
        <w:tc>
          <w:tcPr>
            <w:tcW w:w="15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 2025</w:t>
            </w:r>
          </w:p>
        </w:tc>
        <w:tc>
          <w:tcPr>
            <w:tcW w:w="60" w:type="dxa"/>
            <w:tcBorders/>
            <w:shd w:fill="FFFFFF" w:val="clear"/>
            <w:vAlign w:val="center"/>
          </w:tcPr>
          <w:p>
            <w:pPr>
              <w:pStyle w:val="TableContents"/>
              <w:bidi w:val="0"/>
              <w:spacing w:before="0" w:after="0"/>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 on-hand</w:t>
            </w:r>
          </w:p>
        </w:tc>
        <w:tc>
          <w:tcPr>
            <w:tcW w:w="60" w:type="dxa"/>
            <w:tcBorders/>
            <w:shd w:fill="CCEEFF" w:val="clear"/>
            <w:vAlign w:val="center"/>
          </w:tcPr>
          <w:p>
            <w:pPr>
              <w:pStyle w:val="TableContents"/>
              <w:bidi w:val="0"/>
              <w:spacing w:before="0" w:after="283"/>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60"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net</w:t>
            </w:r>
          </w:p>
        </w:tc>
        <w:tc>
          <w:tcPr>
            <w:tcW w:w="60" w:type="dxa"/>
            <w:tcBorders/>
            <w:shd w:fill="FFFFFF" w:val="clear"/>
            <w:vAlign w:val="center"/>
          </w:tcPr>
          <w:p>
            <w:pPr>
              <w:pStyle w:val="TableContents"/>
              <w:bidi w:val="0"/>
              <w:spacing w:before="0" w:after="283"/>
              <w:ind w:left="0" w:right="0" w:hanging="0"/>
              <w:jc w:val="left"/>
              <w:rPr/>
            </w:pPr>
            <w:r>
              <w:rPr/>
              <w:t> </w:t>
            </w:r>
          </w:p>
        </w:tc>
        <w:tc>
          <w:tcPr>
            <w:tcW w:w="4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5050" w:type="dxa"/>
        <w:jc w:val="left"/>
        <w:tblInd w:w="0" w:type="dxa"/>
        <w:tblLayout w:type="fixed"/>
        <w:tblCellMar>
          <w:top w:w="0" w:type="dxa"/>
          <w:left w:w="0" w:type="dxa"/>
          <w:bottom w:w="0" w:type="dxa"/>
          <w:right w:w="0" w:type="dxa"/>
        </w:tblCellMar>
      </w:tblPr>
      <w:tblGrid>
        <w:gridCol w:w="170"/>
        <w:gridCol w:w="488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w:t>
            </w:r>
          </w:p>
        </w:tc>
        <w:tc>
          <w:tcPr>
            <w:tcW w:w="48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PREPAID EXPENSES AND 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Prepaid and other current assets consisted of the following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5143" w:type="dxa"/>
        <w:jc w:val="left"/>
        <w:tblInd w:w="0" w:type="dxa"/>
        <w:tblLayout w:type="fixed"/>
        <w:tblCellMar>
          <w:top w:w="0" w:type="dxa"/>
          <w:left w:w="0" w:type="dxa"/>
          <w:bottom w:w="0" w:type="dxa"/>
          <w:right w:w="0" w:type="dxa"/>
        </w:tblCellMar>
      </w:tblPr>
      <w:tblGrid>
        <w:gridCol w:w="2105"/>
        <w:gridCol w:w="60"/>
        <w:gridCol w:w="243"/>
        <w:gridCol w:w="946"/>
        <w:gridCol w:w="60"/>
        <w:gridCol w:w="60"/>
        <w:gridCol w:w="329"/>
        <w:gridCol w:w="1280"/>
        <w:gridCol w:w="60"/>
      </w:tblGrid>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software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7.</w:t>
            </w:r>
          </w:p>
        </w:tc>
        <w:tc>
          <w:tcPr>
            <w:tcW w:w="44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ACCRUED AND OTHER CURRENT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Accrued and other current liabilities consisted of the following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6313" w:type="dxa"/>
        <w:jc w:val="left"/>
        <w:tblInd w:w="0" w:type="dxa"/>
        <w:tblLayout w:type="fixed"/>
        <w:tblCellMar>
          <w:top w:w="0" w:type="dxa"/>
          <w:left w:w="0" w:type="dxa"/>
          <w:bottom w:w="0" w:type="dxa"/>
          <w:right w:w="0" w:type="dxa"/>
        </w:tblCellMar>
      </w:tblPr>
      <w:tblGrid>
        <w:gridCol w:w="3275"/>
        <w:gridCol w:w="60"/>
        <w:gridCol w:w="243"/>
        <w:gridCol w:w="946"/>
        <w:gridCol w:w="60"/>
        <w:gridCol w:w="60"/>
        <w:gridCol w:w="329"/>
        <w:gridCol w:w="1280"/>
        <w:gridCol w:w="60"/>
      </w:tblGrid>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 costs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532</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accounting and consulting fees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tax payable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insurance premium financing</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695</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payroll taxes payable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legal fees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1,125</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accruals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1,259</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and current liabilities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sponsors, through its professional employer organization provider, a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defined contribution plan covering all eligible US employees.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are discretionary. Currently,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match or make any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8.</w:t>
            </w:r>
          </w:p>
        </w:tc>
        <w:tc>
          <w:tcPr>
            <w:tcW w:w="3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CREDIT FACILITY AND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MidCap Credit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22, 2021, </w:t>
      </w:r>
      <w:r>
        <w:rPr>
          <w:rFonts w:ascii="Times New Roman" w:hAnsi="Times New Roman"/>
          <w:caps w:val="false"/>
          <w:smallCaps w:val="false"/>
          <w:sz w:val="20"/>
        </w:rPr>
        <w:t>the Company entered into a Credit and Security Agreement (the “Credit Agreement” or the "Existing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in exchange for the Lenders extending loans and other extensions of credit to the Company under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any amortization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Credit Agreement minimum liquidity covenant, which includes the Company’s unrestricted U.S. cash plus the revolving loan availability, requires that Midcap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permit the credit party liquidity at any time to be less than (a) during the period commencing on </w:t>
      </w:r>
      <w:r>
        <w:rPr>
          <w:rStyle w:val="Emphasis"/>
          <w:rFonts w:ascii="Times New Roman" w:hAnsi="Times New Roman"/>
          <w:caps w:val="false"/>
          <w:smallCaps w:val="false"/>
          <w:sz w:val="20"/>
        </w:rPr>
        <w:t>February 1st</w:t>
      </w:r>
      <w:r>
        <w:rPr>
          <w:rFonts w:ascii="Times New Roman" w:hAnsi="Times New Roman"/>
          <w:caps w:val="false"/>
          <w:smallCaps w:val="false"/>
          <w:sz w:val="20"/>
        </w:rPr>
        <w:t xml:space="preserve"> through and including </w:t>
      </w:r>
      <w:r>
        <w:rPr>
          <w:rStyle w:val="Emphasis"/>
          <w:rFonts w:ascii="Times New Roman" w:hAnsi="Times New Roman"/>
          <w:caps w:val="false"/>
          <w:smallCaps w:val="false"/>
          <w:sz w:val="20"/>
        </w:rPr>
        <w:t>May 31st</w:t>
      </w:r>
      <w:r>
        <w:rPr>
          <w:rFonts w:ascii="Times New Roman" w:hAnsi="Times New Roman"/>
          <w:caps w:val="false"/>
          <w:smallCaps w:val="false"/>
          <w:sz w:val="20"/>
        </w:rPr>
        <w:t xml:space="preserve"> of each calendar year, $12.5 million and (b) at all other times, $15.0 million. The Credit Agreement includes events of default that are customary for these types of credit facilities, including the occurrence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23, 2024, </w:t>
      </w:r>
      <w:r>
        <w:rPr>
          <w:rFonts w:ascii="Times New Roman" w:hAnsi="Times New Roman"/>
          <w:caps w:val="false"/>
          <w:smallCaps w:val="false"/>
          <w:sz w:val="20"/>
        </w:rPr>
        <w:t xml:space="preserve">the Company amended its asset backed credit facility with MidCap Financial Trust. The Credit Agreement term was extended to </w:t>
      </w:r>
      <w:r>
        <w:rPr>
          <w:rStyle w:val="Emphasis"/>
          <w:rFonts w:ascii="Times New Roman" w:hAnsi="Times New Roman"/>
          <w:caps w:val="false"/>
          <w:smallCaps w:val="false"/>
          <w:sz w:val="20"/>
        </w:rPr>
        <w:t xml:space="preserve">December 2026 </w:t>
      </w:r>
      <w:r>
        <w:rPr>
          <w:rFonts w:ascii="Times New Roman" w:hAnsi="Times New Roman"/>
          <w:caps w:val="false"/>
          <w:smallCaps w:val="false"/>
          <w:sz w:val="20"/>
        </w:rPr>
        <w:t>and gives the Company access to $17 million in current commitments which can be increased, subject to certain conditions, to $30.0 million. The Credit Agreement extension reduced the minimum liquidity financial covenant from a peak of $15.0 million to $6.8 million of U.S. cash on hand and/or availability in the Credit Agreement. The extension fee was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25, 2025 (</w:t>
      </w:r>
      <w:r>
        <w:rPr>
          <w:rFonts w:ascii="Times New Roman" w:hAnsi="Times New Roman"/>
          <w:caps w:val="false"/>
          <w:smallCaps w:val="false"/>
          <w:sz w:val="20"/>
        </w:rPr>
        <w:t xml:space="preserve">the “Third Amendment Effective Date”) 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“3rd</w:t>
      </w:r>
      <w:r>
        <w:rPr>
          <w:rFonts w:ascii="Times New Roman" w:hAnsi="Times New Roman"/>
          <w:caps w:val="false"/>
          <w:smallCaps w:val="false"/>
          <w:sz w:val="20"/>
        </w:rPr>
        <w:t xml:space="preserve"> Amendment”) to the Credit Agreement. Material changes contained in the </w:t>
      </w:r>
      <w:r>
        <w:rPr>
          <w:rStyle w:val="Emphasis"/>
          <w:rFonts w:ascii="Times New Roman" w:hAnsi="Times New Roman"/>
          <w:caps w:val="false"/>
          <w:smallCaps w:val="false"/>
          <w:sz w:val="20"/>
        </w:rPr>
        <w:t>3rd</w:t>
      </w:r>
      <w:r>
        <w:rPr>
          <w:rFonts w:ascii="Times New Roman" w:hAnsi="Times New Roman"/>
          <w:caps w:val="false"/>
          <w:smallCaps w:val="false"/>
          <w:sz w:val="20"/>
        </w:rPr>
        <w:t xml:space="preserve"> Amendment include, among other things, adding repurchase of the Company’s common stock of up to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million per year, consisting of up to $1.5 million in repurchases allowed during the period from </w:t>
      </w:r>
      <w:r>
        <w:rPr>
          <w:rStyle w:val="Emphasis"/>
          <w:rFonts w:ascii="Times New Roman" w:hAnsi="Times New Roman"/>
          <w:caps w:val="false"/>
          <w:smallCaps w:val="false"/>
          <w:sz w:val="20"/>
        </w:rPr>
        <w:t xml:space="preserve">March 25, 2025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December 22, 2025, </w:t>
      </w:r>
      <w:r>
        <w:rPr>
          <w:rFonts w:ascii="Times New Roman" w:hAnsi="Times New Roman"/>
          <w:caps w:val="false"/>
          <w:smallCaps w:val="false"/>
          <w:sz w:val="20"/>
        </w:rPr>
        <w:t xml:space="preserve">and up to an additional $1.5 million allowed during the period from </w:t>
      </w:r>
      <w:r>
        <w:rPr>
          <w:rStyle w:val="Emphasis"/>
          <w:rFonts w:ascii="Times New Roman" w:hAnsi="Times New Roman"/>
          <w:caps w:val="false"/>
          <w:smallCaps w:val="false"/>
          <w:sz w:val="20"/>
        </w:rPr>
        <w:t xml:space="preserve">December 23, 2025 </w:t>
      </w:r>
      <w:r>
        <w:rPr>
          <w:rFonts w:ascii="Times New Roman" w:hAnsi="Times New Roman"/>
          <w:caps w:val="false"/>
          <w:smallCaps w:val="false"/>
          <w:sz w:val="20"/>
        </w:rPr>
        <w:t xml:space="preserve">through the maturity date, subject to certain liquidity and compliance conditions. As of </w:t>
      </w:r>
      <w:r>
        <w:rPr>
          <w:rStyle w:val="Emphasis"/>
          <w:rFonts w:ascii="Times New Roman" w:hAnsi="Times New Roman"/>
          <w:caps w:val="false"/>
          <w:smallCaps w:val="false"/>
          <w:sz w:val="20"/>
        </w:rPr>
        <w:t xml:space="preserve">May 2, 2025, </w:t>
      </w:r>
      <w:r>
        <w:rPr>
          <w:rFonts w:ascii="Times New Roman" w:hAnsi="Times New Roman"/>
          <w:caps w:val="false"/>
          <w:smallCaps w:val="false"/>
          <w:sz w:val="20"/>
        </w:rPr>
        <w:t>the Company had temporarily suspended its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August 29, 2025 (</w:t>
      </w:r>
      <w:r>
        <w:rPr>
          <w:rFonts w:ascii="Times New Roman" w:hAnsi="Times New Roman"/>
          <w:caps w:val="false"/>
          <w:smallCaps w:val="false"/>
          <w:sz w:val="20"/>
        </w:rPr>
        <w:t xml:space="preserve">the “Fourth Amendment Effective Date”) 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to the Credit Agreement. Material changes contained in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include a reduction to the Minimum Credit Party Liquidity (as defined in the Credit Agreement) covenant to $5.0 million, upon the Company’s delivery of a liquidity certificate evidencing liquidity of at least $6.8 million, the Minimum Liquidity Covenant Reduction Period (as defined in the Credit Agreement) will terminate and the covenant will increase to $6.8 million thereafter, and an Availability Reserve (as defined in the Credit Agreement) of $2.8 million during the Minimum Liquidity Covenant Reduction Period and $1.0 million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13, 2026 (</w:t>
      </w:r>
      <w:r>
        <w:rPr>
          <w:rFonts w:ascii="Times New Roman" w:hAnsi="Times New Roman"/>
          <w:caps w:val="false"/>
          <w:smallCaps w:val="false"/>
          <w:sz w:val="20"/>
        </w:rPr>
        <w:t xml:space="preserve">the "Fifth Amendment Effective Date"), the Company and its subsidiaries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w:t>
      </w:r>
      <w:r>
        <w:rPr>
          <w:rStyle w:val="Emphasis"/>
          <w:rFonts w:ascii="Times New Roman" w:hAnsi="Times New Roman"/>
          <w:caps w:val="false"/>
          <w:smallCaps w:val="false"/>
          <w:sz w:val="20"/>
        </w:rPr>
        <w:t xml:space="preserve">May 9, 2026, </w:t>
      </w:r>
      <w:r>
        <w:rPr>
          <w:rFonts w:ascii="Times New Roman" w:hAnsi="Times New Roman"/>
          <w:caps w:val="false"/>
          <w:smallCaps w:val="false"/>
          <w:sz w:val="20"/>
        </w:rPr>
        <w:t>provided it remains in compliance with certain fee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in compliance with the financial covenants contained within the Credit Agreement as of </w:t>
      </w:r>
      <w:r>
        <w:rPr>
          <w:rStyle w:val="Emphasis"/>
          <w:rFonts w:ascii="Times New Roman" w:hAnsi="Times New Roman"/>
          <w:caps w:val="false"/>
          <w:smallCaps w:val="false"/>
          <w:sz w:val="20"/>
        </w:rPr>
        <w:t>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was no outstanding principal balance under the Existing Credit Agreement.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had an overpayment balance of $0.4 million due from the lender resulting from routine cash sweeps mechanics, as well as unamortized deferred financing costs of $0.1 million, both of which are included within Prepaid Expenses and Other Current Assets on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in connection with the closing of the Asset Sale and the Stock Sale, all outstanding indebtedness under the Existing Credit Agreement was repaid in full and all commitments thereunder were terminated. Additionally, all guarantees and liens securing the indebtedness under the Existing Credit Agreement were fully discharged and released.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credit facility consisted of the following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4145"/>
        <w:gridCol w:w="60"/>
        <w:gridCol w:w="383"/>
        <w:gridCol w:w="806"/>
        <w:gridCol w:w="60"/>
        <w:gridCol w:w="60"/>
        <w:gridCol w:w="329"/>
        <w:gridCol w:w="1280"/>
        <w:gridCol w:w="80"/>
      </w:tblGrid>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MidCap Credit Facility</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4,449</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deferred debt issuance costs</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discount associated with issuance of warrants</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MidCap Credit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3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Interest expense, net consisted of the following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2025</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7235" w:type="dxa"/>
        <w:jc w:val="left"/>
        <w:tblInd w:w="0" w:type="dxa"/>
        <w:tblLayout w:type="fixed"/>
        <w:tblCellMar>
          <w:top w:w="0" w:type="dxa"/>
          <w:left w:w="0" w:type="dxa"/>
          <w:bottom w:w="0" w:type="dxa"/>
          <w:right w:w="0" w:type="dxa"/>
        </w:tblCellMar>
      </w:tblPr>
      <w:tblGrid>
        <w:gridCol w:w="2150"/>
        <w:gridCol w:w="60"/>
        <w:gridCol w:w="280"/>
        <w:gridCol w:w="885"/>
        <w:gridCol w:w="179"/>
        <w:gridCol w:w="134"/>
        <w:gridCol w:w="280"/>
        <w:gridCol w:w="750"/>
        <w:gridCol w:w="80"/>
        <w:gridCol w:w="60"/>
        <w:gridCol w:w="256"/>
        <w:gridCol w:w="811"/>
        <w:gridCol w:w="164"/>
        <w:gridCol w:w="123"/>
        <w:gridCol w:w="256"/>
        <w:gridCol w:w="687"/>
        <w:gridCol w:w="80"/>
      </w:tblGrid>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79"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9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179"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income(1)</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7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4"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1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179"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both"/>
              <w:rPr/>
            </w:pPr>
            <w:r>
              <w:rPr/>
              <w:t> </w:t>
            </w:r>
          </w:p>
        </w:tc>
        <w:tc>
          <w:tcPr>
            <w:tcW w:w="198"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932" w:type="dxa"/>
            <w:tcBorders/>
            <w:vAlign w:val="center"/>
          </w:tcPr>
          <w:p>
            <w:pPr>
              <w:pStyle w:val="TableContents"/>
              <w:bidi w:val="0"/>
              <w:spacing w:before="0" w:after="283"/>
              <w:jc w:val="both"/>
              <w:rPr/>
            </w:pPr>
            <w:r>
              <w:rPr>
                <w:rFonts w:ascii="Times New Roman;Times;serif" w:hAnsi="Times New Roman;Times;serif"/>
                <w:sz w:val="20"/>
              </w:rPr>
              <w:t xml:space="preserve">Interest income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includes $0.1 million of statutory interest received from U.S. Customs and Border Protection in connection with tariff refunds.</w:t>
            </w:r>
          </w:p>
        </w:tc>
      </w:tr>
    </w:tbl>
    <w:p>
      <w:pPr>
        <w:pStyle w:val="TextBody"/>
        <w:bidi w:val="0"/>
        <w:spacing w:before="0" w:after="0"/>
        <w:ind w:left="500" w:right="0" w:hanging="50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Seller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entered into a binding settlement agreement to fully discharge its outstanding Seller Notes with an aggregate carrying value of $0.3 million in exchange for a cash settlement payment of $38 thousand. Accordingly,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recognized a gain on extinguishment of debt of $0.3 million in the Condensed Consolidated Statements of Operations.  The remaining $38 thousand settlement obligation was included in Seller Notes on the Condensed Consolidated Balance Sheets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was paid in full in </w:t>
      </w:r>
      <w:r>
        <w:rPr>
          <w:rStyle w:val="Emphasis"/>
          <w:rFonts w:ascii="Times New Roman" w:hAnsi="Times New Roman"/>
          <w:caps w:val="false"/>
          <w:smallCaps w:val="false"/>
          <w:sz w:val="20"/>
        </w:rPr>
        <w:t>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b/>
          <w:i/>
          <w:caps w:val="false"/>
          <w:smallCaps w:val="false"/>
          <w:sz w:val="20"/>
        </w:rPr>
      </w:pPr>
      <w:r>
        <w:rPr>
          <w:rFonts w:ascii="Times New Roman" w:hAnsi="Times New Roman"/>
          <w:b/>
          <w:i/>
          <w:caps w:val="false"/>
          <w:smallCaps w:val="false"/>
          <w:sz w:val="20"/>
        </w:rPr>
        <w:t>Securities Purchase Agreement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2022, </w:t>
      </w:r>
      <w:r>
        <w:rPr>
          <w:rFonts w:ascii="Times New Roman" w:hAnsi="Times New Roman"/>
          <w:caps w:val="false"/>
          <w:smallCaps w:val="false"/>
          <w:sz w:val="20"/>
        </w:rPr>
        <w:t xml:space="preserve">the Company raised approximately $27.5 million through a private placement involving common stock and accompanying stock purchase warrants. The 590,637 common stock warrants issued in the transaction were classified as liabilities with subsequent remeasurement each quarter.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these warrants remain outstanding and have no associated liability recorded on the Company’s Condensed Consolidated Balance Sheet due to the decline in the Company’s share price.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680" w:type="dxa"/>
        <w:jc w:val="left"/>
        <w:tblInd w:w="0" w:type="dxa"/>
        <w:tblLayout w:type="fixed"/>
        <w:tblCellMar>
          <w:top w:w="0" w:type="dxa"/>
          <w:left w:w="0" w:type="dxa"/>
          <w:bottom w:w="0" w:type="dxa"/>
          <w:right w:w="0" w:type="dxa"/>
        </w:tblCellMar>
      </w:tblPr>
      <w:tblGrid>
        <w:gridCol w:w="170"/>
        <w:gridCol w:w="251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9.</w:t>
            </w:r>
          </w:p>
        </w:tc>
        <w:tc>
          <w:tcPr>
            <w:tcW w:w="25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 xml:space="preserve">On </w:t>
      </w:r>
      <w:r>
        <w:rPr>
          <w:rStyle w:val="Emphasis"/>
          <w:rFonts w:ascii="Times New Roman" w:hAnsi="Times New Roman"/>
          <w:sz w:val="20"/>
        </w:rPr>
        <w:t xml:space="preserve">July 17, 2026, </w:t>
      </w:r>
      <w:r>
        <w:rPr>
          <w:rFonts w:ascii="Times New Roman" w:hAnsi="Times New Roman"/>
          <w:sz w:val="20"/>
        </w:rPr>
        <w:t xml:space="preserve">the Company completed its sale of preferred stock to David E. Lazar, pursuant to that certain Securities Purchase Agreement, dated as of </w:t>
      </w:r>
      <w:r>
        <w:rPr>
          <w:rStyle w:val="Emphasis"/>
          <w:rFonts w:ascii="Times New Roman" w:hAnsi="Times New Roman"/>
          <w:sz w:val="20"/>
        </w:rPr>
        <w:t xml:space="preserve">April 27, 2026. </w:t>
      </w:r>
      <w:r>
        <w:rPr>
          <w:rFonts w:ascii="Times New Roman" w:hAnsi="Times New Roman"/>
          <w:sz w:val="20"/>
        </w:rPr>
        <w:t xml:space="preserve">Pursuant to the Securities Purchase Agreement, Lazar purchased from the Company (a) 1,750,000 shares of Series AA Convertible Non-Redeemable Preferred Stock, par value $0.0001 per share, of the Company (the “Series AA Preferred Stock” and such purchased shares, the “Series AA Preferred Shares”), the closing of which occurred on </w:t>
      </w:r>
      <w:r>
        <w:rPr>
          <w:rStyle w:val="Emphasis"/>
          <w:rFonts w:ascii="Times New Roman" w:hAnsi="Times New Roman"/>
          <w:sz w:val="20"/>
        </w:rPr>
        <w:t xml:space="preserve">April 27, 2026, </w:t>
      </w:r>
      <w:r>
        <w:rPr>
          <w:rFonts w:ascii="Times New Roman" w:hAnsi="Times New Roman"/>
          <w:sz w:val="20"/>
        </w:rPr>
        <w:t xml:space="preserve">and (b) 1,750,000 shares of Series AAA Convertible Non-Redeemable Preferred Stock, par value $0.0001 per share, of the Company (the “Series AAA Preferred Stock” and together with the Series AA Preferred Stock, the “Preferred Stock” and such purchased shares, the “Series AAA Preferred Shares” and together with the Series AA Preferred Shares, the “Purchased Shares”), the closing of which occurred on </w:t>
      </w:r>
      <w:r>
        <w:rPr>
          <w:rStyle w:val="Emphasis"/>
          <w:rFonts w:ascii="Times New Roman" w:hAnsi="Times New Roman"/>
          <w:sz w:val="20"/>
        </w:rPr>
        <w:t xml:space="preserve">July 17, 2026, </w:t>
      </w:r>
      <w:r>
        <w:rPr>
          <w:rFonts w:ascii="Times New Roman" w:hAnsi="Times New Roman"/>
          <w:sz w:val="20"/>
        </w:rPr>
        <w:t xml:space="preserve">in each case at a purchase price of $2.00 per share of Preferred Stock for aggregate gross proceeds of $7.0 million, subject to the terms and conditions of the Securities Purchase Agreement. As the Company received the requisite approvals at the Special Meeting, each (i) Series AA Preferred Share </w:t>
      </w:r>
      <w:r>
        <w:rPr>
          <w:rStyle w:val="Emphasis"/>
          <w:rFonts w:ascii="Times New Roman" w:hAnsi="Times New Roman"/>
          <w:sz w:val="20"/>
        </w:rPr>
        <w:t xml:space="preserve">may </w:t>
      </w:r>
      <w:r>
        <w:rPr>
          <w:rFonts w:ascii="Times New Roman" w:hAnsi="Times New Roman"/>
          <w:sz w:val="20"/>
        </w:rPr>
        <w:t xml:space="preserve">be converted into 7.7 shares of common stock, which number is based on a conversion price of $0.25974, as determined in accordance with the terms of the Securities Purchase Agreement, and (ii) Series AAA Preferred Share </w:t>
      </w:r>
      <w:r>
        <w:rPr>
          <w:rStyle w:val="Emphasis"/>
          <w:rFonts w:ascii="Times New Roman" w:hAnsi="Times New Roman"/>
          <w:sz w:val="20"/>
        </w:rPr>
        <w:t xml:space="preserve">may </w:t>
      </w:r>
      <w:r>
        <w:rPr>
          <w:rFonts w:ascii="Times New Roman" w:hAnsi="Times New Roman"/>
          <w:sz w:val="20"/>
        </w:rPr>
        <w:t>be converted into 135.1 shares of common stock, which number is based on a conversion price of $0.0148, as determined in accordance with the terms of the Securities Purchase Agreement.</w:t>
      </w:r>
    </w:p>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25, 2026, </w:t>
      </w:r>
      <w:r>
        <w:rPr>
          <w:rFonts w:ascii="Times New Roman" w:hAnsi="Times New Roman"/>
          <w:caps w:val="false"/>
          <w:smallCaps w:val="false"/>
          <w:sz w:val="20"/>
        </w:rPr>
        <w:t xml:space="preserve">in connection with the Asset Sale to Trademark Global, LLC and the Securities Purchase Agreement with David E. Lazar, the Board of Directors of the Company conditionally declared a dividend in the form of contingent value rights. The contingent value rights were declared to record holders as of the close of business on </w:t>
      </w:r>
      <w:r>
        <w:rPr>
          <w:rStyle w:val="Emphasis"/>
          <w:rFonts w:ascii="Times New Roman" w:hAnsi="Times New Roman"/>
          <w:caps w:val="false"/>
          <w:smallCaps w:val="false"/>
          <w:sz w:val="20"/>
        </w:rPr>
        <w:t xml:space="preserve">July 8, 2026, </w:t>
      </w:r>
      <w:r>
        <w:rPr>
          <w:rFonts w:ascii="Times New Roman" w:hAnsi="Times New Roman"/>
          <w:caps w:val="false"/>
          <w:smallCaps w:val="false"/>
          <w:sz w:val="20"/>
        </w:rPr>
        <w:t xml:space="preserve">comprising holders of the Company’s common stock, par value $0.0001 per share, and holders of certain unexercised participating warrants to purchase common stock. Each eligible holder is entitled to receive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contingent value right for each share of common stock held or issuable upon exercise of participating warrants as of the record date. Shares of Series AA and Series AAA Convertible Non-Redeemable Preferred Stock are expressly excluded from participating in the distribution. Because the payment of the dividend remained subject to unfulfilled conditions precedent, including stockholder approval and the closing of the transactions, and remained subject to revocation by the Board as of </w:t>
      </w:r>
      <w:r>
        <w:rPr>
          <w:rStyle w:val="Emphasis"/>
          <w:rFonts w:ascii="Times New Roman" w:hAnsi="Times New Roman"/>
          <w:caps w:val="false"/>
          <w:smallCaps w:val="false"/>
          <w:sz w:val="20"/>
        </w:rPr>
        <w:t>June 30, 2026, no</w:t>
      </w:r>
      <w:r>
        <w:rPr>
          <w:rFonts w:ascii="Times New Roman" w:hAnsi="Times New Roman"/>
          <w:caps w:val="false"/>
          <w:smallCaps w:val="false"/>
          <w:sz w:val="20"/>
        </w:rPr>
        <w:t xml:space="preserve"> liability or reduction of equity was recognized in the condensed consolidated financial statements for the period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27, 2026, </w:t>
      </w:r>
      <w:r>
        <w:rPr>
          <w:rFonts w:ascii="Times New Roman" w:hAnsi="Times New Roman"/>
          <w:caps w:val="false"/>
          <w:smallCaps w:val="false"/>
          <w:sz w:val="20"/>
        </w:rPr>
        <w:t>the Company received gross proceeds of $3.5 million from the issuance of the Series AA Preferred Stock, which were offset by approximately $0.3 million of transaction costs recorded as a reduction to additional paid-in capital, resulting in net proceeds of approximately $3.2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10.</w:t>
            </w:r>
          </w:p>
        </w:tc>
        <w:tc>
          <w:tcPr>
            <w:tcW w:w="30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2014</w:t>
      </w:r>
      <w:r>
        <w:rPr>
          <w:rFonts w:ascii="Times New Roman" w:hAnsi="Times New Roman"/>
          <w:b/>
          <w:caps w:val="false"/>
          <w:smallCaps w:val="false"/>
          <w:sz w:val="20"/>
        </w:rPr>
        <w:t xml:space="preserve"> Amended and Restated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of directors of Aterian Group, Inc., (the “Board”) a subsidiary of the Company (“AGI”), adopted, and AGI’s stockholders approved, the Aterian Group, Inc.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Equity Incentive Plan on </w:t>
      </w:r>
      <w:r>
        <w:rPr>
          <w:rStyle w:val="Emphasis"/>
          <w:rFonts w:ascii="Times New Roman" w:hAnsi="Times New Roman"/>
          <w:caps w:val="false"/>
          <w:smallCaps w:val="false"/>
          <w:sz w:val="20"/>
        </w:rPr>
        <w:t xml:space="preserve">June 11,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2017, </w:t>
      </w:r>
      <w:r>
        <w:rPr>
          <w:rFonts w:ascii="Times New Roman" w:hAnsi="Times New Roman"/>
          <w:caps w:val="false"/>
          <w:smallCaps w:val="false"/>
          <w:sz w:val="20"/>
        </w:rPr>
        <w:t xml:space="preserve">AGI’s board of directors adopted, and AGI’s stockholders approved, an amendment and restatement of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Equity Incentive Plan (as amended,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were no shares reserved for future issuance under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2018</w:t>
      </w:r>
      <w:r>
        <w:rPr>
          <w:rFonts w:ascii="Times New Roman" w:hAnsi="Times New Roman"/>
          <w:b/>
          <w:caps w:val="false"/>
          <w:smallCaps w:val="false"/>
          <w:sz w:val="20"/>
        </w:rPr>
        <w:t xml:space="preserve"> Equity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adopted the Aterian, Inc.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on </w:t>
      </w:r>
      <w:r>
        <w:rPr>
          <w:rStyle w:val="Emphasis"/>
          <w:rFonts w:ascii="Times New Roman" w:hAnsi="Times New Roman"/>
          <w:caps w:val="false"/>
          <w:smallCaps w:val="false"/>
          <w:sz w:val="20"/>
        </w:rPr>
        <w:t xml:space="preserve">October 11, 2018.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was approved by its stockholders 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1,876,449 shares were reserved for awards available for future issuance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Options granted to date under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generally vest either: (i) over a four-year period with 25% of the shares underlying the options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vesting commencement date with the remaining 75% of the shares vesting on a pro-rata basis over the succeeding </w:t>
      </w:r>
      <w:r>
        <w:rPr>
          <w:rStyle w:val="Emphasis"/>
          <w:rFonts w:ascii="Times New Roman" w:hAnsi="Times New Roman"/>
          <w:caps w:val="false"/>
          <w:smallCaps w:val="false"/>
          <w:sz w:val="20"/>
        </w:rPr>
        <w:t>thirty-six</w:t>
      </w:r>
      <w:r>
        <w:rPr>
          <w:rFonts w:ascii="Times New Roman" w:hAnsi="Times New Roman"/>
          <w:caps w:val="false"/>
          <w:smallCaps w:val="false"/>
          <w:sz w:val="20"/>
        </w:rPr>
        <w:t xml:space="preserve"> months, subject to continued service with the Company through each vesting date, or (ii) over a three-year period with 33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the shares underlying the options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vesting commencement date with the remaining 66 </w:t>
      </w:r>
      <w:r>
        <w:rPr>
          <w:rStyle w:val="Emphasis"/>
          <w:rFonts w:ascii="Times New Roman" w:hAnsi="Times New Roman"/>
          <w:caps w:val="false"/>
          <w:smallCaps w:val="false"/>
          <w:sz w:val="20"/>
        </w:rPr>
        <w:t>2/3%</w:t>
      </w:r>
      <w:r>
        <w:rPr>
          <w:rFonts w:ascii="Times New Roman" w:hAnsi="Times New Roman"/>
          <w:caps w:val="false"/>
          <w:smallCaps w:val="false"/>
          <w:sz w:val="20"/>
        </w:rPr>
        <w:t xml:space="preserve"> of the shares vesting on a pro-rata basis over the succeeding </w:t>
      </w:r>
      <w:r>
        <w:rPr>
          <w:rStyle w:val="Emphasis"/>
          <w:rFonts w:ascii="Times New Roman" w:hAnsi="Times New Roman"/>
          <w:caps w:val="false"/>
          <w:smallCaps w:val="false"/>
          <w:sz w:val="20"/>
        </w:rPr>
        <w:t>twenty-four</w:t>
      </w:r>
      <w:r>
        <w:rPr>
          <w:rFonts w:ascii="Times New Roman" w:hAnsi="Times New Roman"/>
          <w:caps w:val="false"/>
          <w:smallCaps w:val="false"/>
          <w:sz w:val="20"/>
        </w:rPr>
        <w:t xml:space="preserve"> months, subject to continued service with the Company through each vesting date. Options granted are generally exercisable for up to 10 years subject to continued service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27, 2022, </w:t>
      </w:r>
      <w:r>
        <w:rPr>
          <w:rFonts w:ascii="Times New Roman" w:hAnsi="Times New Roman"/>
          <w:caps w:val="false"/>
          <w:smallCaps w:val="false"/>
          <w:sz w:val="20"/>
        </w:rPr>
        <w:t xml:space="preserve">the Compensation Committee of the Board (the “Compensation Committee”) adopted the Aterian, Inc.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only be granted to an individual, as a material inducement to such individual to enter into employment with the Company or an affiliate of the Company, who (i)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193,473 shares were reserved for future issuance under the 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Inducement Plan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approved by the Company’s stockholders. Awards under the Inducement Plan will be made pursuant to the exemption from Nasdaq stockholder approval requirements for equity compensation provided by Nasdaq Listing Rule </w:t>
      </w:r>
      <w:r>
        <w:rPr>
          <w:rStyle w:val="Emphasis"/>
          <w:rFonts w:ascii="Times New Roman" w:hAnsi="Times New Roman"/>
          <w:caps w:val="false"/>
          <w:smallCaps w:val="false"/>
          <w:sz w:val="20"/>
        </w:rPr>
        <w:t>5635</w:t>
      </w:r>
      <w:r>
        <w:rPr>
          <w:rFonts w:ascii="Times New Roman" w:hAnsi="Times New Roman"/>
          <w:caps w:val="false"/>
          <w:smallCaps w:val="false"/>
          <w:sz w:val="20"/>
        </w:rPr>
        <w:t>(c)(</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which permits Nasdaq listed companies to make inducement equity awards to new employees without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obtaining stockholder approval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summary of stock option activity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19" w:type="dxa"/>
        <w:jc w:val="left"/>
        <w:tblInd w:w="0" w:type="dxa"/>
        <w:tblLayout w:type="fixed"/>
        <w:tblCellMar>
          <w:top w:w="0" w:type="dxa"/>
          <w:left w:w="0" w:type="dxa"/>
          <w:bottom w:w="0" w:type="dxa"/>
          <w:right w:w="0" w:type="dxa"/>
        </w:tblCellMar>
      </w:tblPr>
      <w:tblGrid>
        <w:gridCol w:w="3890"/>
        <w:gridCol w:w="60"/>
        <w:gridCol w:w="84"/>
        <w:gridCol w:w="835"/>
        <w:gridCol w:w="80"/>
        <w:gridCol w:w="60"/>
        <w:gridCol w:w="155"/>
        <w:gridCol w:w="735"/>
        <w:gridCol w:w="60"/>
        <w:gridCol w:w="60"/>
        <w:gridCol w:w="141"/>
        <w:gridCol w:w="899"/>
        <w:gridCol w:w="6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0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 xml:space="preserve">Options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Exercise</w:t>
              <w:br/>
              <w:t xml:space="preserve">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Remaining</w:t>
              <w:br/>
              <w:t>Contractual</w:t>
              <w:br/>
              <w:t xml:space="preserve">Life (years) </w:t>
            </w:r>
          </w:p>
        </w:tc>
        <w:tc>
          <w:tcPr>
            <w:tcW w:w="6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2026</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1.65</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Balance—June 30, 2026</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as of June 30, 2026</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as of June 30, 2026</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all options have been fully expensed.</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A summary of restricted stock award activity within the Company’s equity plans and changes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is as follows:</w:t>
      </w:r>
    </w:p>
    <w:p>
      <w:pPr>
        <w:pStyle w:val="TextBody"/>
        <w:bidi w:val="0"/>
        <w:spacing w:before="0" w:after="0"/>
        <w:ind w:left="0" w:right="0" w:hanging="0"/>
        <w:jc w:val="left"/>
        <w:rPr>
          <w:caps w:val="false"/>
          <w:smallCaps w:val="false"/>
        </w:rPr>
      </w:pPr>
      <w:r>
        <w:rPr>
          <w:caps w:val="false"/>
          <w:smallCaps w:val="false"/>
        </w:rPr>
        <w:t> </w:t>
      </w:r>
    </w:p>
    <w:tbl>
      <w:tblPr>
        <w:tblW w:w="7114" w:type="dxa"/>
        <w:jc w:val="left"/>
        <w:tblInd w:w="0" w:type="dxa"/>
        <w:tblLayout w:type="fixed"/>
        <w:tblCellMar>
          <w:top w:w="0" w:type="dxa"/>
          <w:left w:w="0" w:type="dxa"/>
          <w:bottom w:w="28" w:type="dxa"/>
          <w:right w:w="0" w:type="dxa"/>
        </w:tblCellMar>
      </w:tblPr>
      <w:tblGrid>
        <w:gridCol w:w="2420"/>
        <w:gridCol w:w="60"/>
        <w:gridCol w:w="60"/>
        <w:gridCol w:w="845"/>
        <w:gridCol w:w="80"/>
        <w:gridCol w:w="60"/>
        <w:gridCol w:w="870"/>
        <w:gridCol w:w="2659"/>
        <w:gridCol w:w="60"/>
      </w:tblGrid>
      <w:tr>
        <w:trPr/>
        <w:tc>
          <w:tcPr>
            <w:tcW w:w="24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Awards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29"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 w:hAnsi="Times New Roman"/>
                <w:b/>
                <w:sz w:val="20"/>
              </w:rPr>
              <w:t>Weighted Average Grant- Date Fair Value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1,338,100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7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5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923,180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659"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0.80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(559,560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659"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1.67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(70,816</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59" w:type="dxa"/>
            <w:tcBorders>
              <w:bottom w:val="single" w:sz="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1,630,904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7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59" w:type="dxa"/>
            <w:tcBorders>
              <w:bottom w:val="double" w:sz="6"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total unrecognized compensation expense related to unvested shares of restricted common stock was $1.5 million, which the Company expects to recognize over an estimated weighted-average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Stock-based compensation expense is allocated based on the cost center to which the award holder belongs.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$0.3 million and a reversal of $3 thousand of stock-based compensation were included in general and administrative expenses on the Condensed Consolidated Statement of Operations and $0.1 million and $0.1 million of stock-based compensation were included within discontinued operations, respectively. During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$0.7 million and $0.6 million of stock-based compensation were included in general and administrative expenses on the Condensed Consolidated Statement of Operations and $0.1 million and $0.3 million of stock-based compensation were included within discontinued operations,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11.</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LOSS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to consider the impact of the shares of restricted common stock on the calculation of basic and diluted earnings per share. The Company is currently in a net loss position and is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present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however, in the event the Company is in a net income position,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must be applied by allocating all earnings during the period to shares of common stock and shares of restricted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per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4"/>
        <w:gridCol w:w="60"/>
        <w:gridCol w:w="141"/>
        <w:gridCol w:w="958"/>
        <w:gridCol w:w="90"/>
        <w:gridCol w:w="67"/>
        <w:gridCol w:w="141"/>
        <w:gridCol w:w="958"/>
        <w:gridCol w:w="80"/>
        <w:gridCol w:w="60"/>
        <w:gridCol w:w="133"/>
        <w:gridCol w:w="903"/>
        <w:gridCol w:w="85"/>
        <w:gridCol w:w="63"/>
        <w:gridCol w:w="133"/>
        <w:gridCol w:w="903"/>
        <w:gridCol w:w="86"/>
      </w:tblGrid>
      <w:tr>
        <w:trPr/>
        <w:tc>
          <w:tcPr>
            <w:tcW w:w="53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6" w:type="dxa"/>
            <w:tcBorders/>
            <w:shd w:fill="FFFFFF" w:val="clear"/>
            <w:vAlign w:val="center"/>
          </w:tcPr>
          <w:p>
            <w:pPr>
              <w:pStyle w:val="TableContents"/>
              <w:bidi w:val="0"/>
              <w:spacing w:before="0" w:after="283"/>
              <w:jc w:val="left"/>
              <w:rPr/>
            </w:pPr>
            <w:r>
              <w:rPr/>
              <w:t> </w:t>
            </w:r>
          </w:p>
        </w:tc>
      </w:tr>
      <w:tr>
        <w:trPr/>
        <w:tc>
          <w:tcPr>
            <w:tcW w:w="53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6" w:type="dxa"/>
            <w:tcBorders/>
            <w:shd w:fill="FFFFFF" w:val="clear"/>
            <w:vAlign w:val="center"/>
          </w:tcPr>
          <w:p>
            <w:pPr>
              <w:pStyle w:val="TableContents"/>
              <w:bidi w:val="0"/>
              <w:spacing w:before="0" w:after="283"/>
              <w:jc w:val="left"/>
              <w:rPr/>
            </w:pPr>
            <w:r>
              <w:rPr/>
              <w:t> </w:t>
            </w:r>
          </w:p>
        </w:tc>
      </w:tr>
      <w:tr>
        <w:trPr/>
        <w:tc>
          <w:tcPr>
            <w:tcW w:w="5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(7,397</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(7,184</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discontinued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3,471</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774</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(491</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(6,623</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(8,756</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used in computing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9,160,187</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7,674,910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9,003,236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7,564,523</w:t>
            </w:r>
          </w:p>
        </w:tc>
        <w:tc>
          <w:tcPr>
            <w:tcW w:w="86" w:type="dxa"/>
            <w:tcBorders/>
            <w:shd w:fill="FFFFFF" w:val="clear"/>
            <w:vAlign w:val="center"/>
          </w:tcPr>
          <w:p>
            <w:pPr>
              <w:pStyle w:val="TableContents"/>
              <w:bidi w:val="0"/>
              <w:spacing w:before="0" w:after="283"/>
              <w:jc w:val="left"/>
              <w:rPr/>
            </w:pPr>
            <w:r>
              <w:rPr/>
              <w:t> </w:t>
            </w:r>
          </w:p>
        </w:tc>
      </w:tr>
      <w:tr>
        <w:trPr/>
        <w:tc>
          <w:tcPr>
            <w:tcW w:w="5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 per share, 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(0.82</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discontinued operations per share,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(0.05</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(0.74</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Anti-dilutive shares excluded from computation of net loss per share (in shares)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2,062,513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1,905,778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2,524,821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1,920,558</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12.</w:t>
            </w:r>
          </w:p>
        </w:tc>
        <w:tc>
          <w:tcPr>
            <w:tcW w:w="3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Based on the location of the Company’s current operations, the majority of sales tax is collected and remitted either by the Company or on its behalf by e-commerce marketplaces in most states within the U.S. To date, the Company has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actual or threatened sales and use tax claims from any state where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Company estimates that the potential liability, including current sales tax payable is approximately $0.9 million, which has been recorded in accrued and other current liabilities on the Condensed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time to time, the Company is party to various actions and claims arising in the normal course of business.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the final outcome of these matters will have a material adverse effect on the Company’s financial position or results of operations. In addition, the Company maintains what it believes is adequate insurance coverage to further mitigate risk. However,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given that the final outcome of such proceedings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impact the Company’s financial condition or results of operations. Further,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given that the amount or scope of existing insurance coverage will be sufficient to cover losses arising from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 xml:space="preserve">June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2026, </w:t>
      </w:r>
      <w:r>
        <w:rPr>
          <w:rFonts w:ascii="Times New Roman" w:hAnsi="Times New Roman"/>
          <w:caps w:val="false"/>
          <w:smallCaps w:val="false"/>
          <w:sz w:val="20"/>
        </w:rPr>
        <w:t xml:space="preserve">in connection with the proxy statement filed in relation to the Asset Sale and Stock Sale, the Company received demand letters from purported stockholders alleging certain omitted information or disclosure deficiencies in the proxy materials. The Company evaluated the demands, determined that the proxy disclosures complied with all applicable reporting requirements, and proceeded with the special meeting where the required stockholder approvals were obtained. The Company believes the claims asserted in these demand letters are without merit and that the likelihood of any material loss arising from these matters is remote. Consequently,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liability has been accrued in the Condensed Consolidated Balance Sheets as of </w:t>
      </w:r>
      <w:r>
        <w:rPr>
          <w:rStyle w:val="Emphasis"/>
          <w:rFonts w:ascii="Times New Roman" w:hAnsi="Times New Roman"/>
          <w:caps w:val="false"/>
          <w:smallCaps w:val="false"/>
          <w:sz w:val="20"/>
        </w:rPr>
        <w:t>June 30,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we announced a voluntary recall in coordination with the U.S. Consumer Product Safety Commission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w:t>
      </w:r>
      <w:r>
        <w:rPr>
          <w:rStyle w:val="Emphasis"/>
          <w:rFonts w:ascii="Times New Roman" w:hAnsi="Times New Roman"/>
          <w:caps w:val="false"/>
          <w:smallCaps w:val="false"/>
          <w:sz w:val="20"/>
        </w:rPr>
        <w:t xml:space="preserve">March 6, 2026, </w:t>
      </w:r>
      <w:r>
        <w:rPr>
          <w:rFonts w:ascii="Times New Roman" w:hAnsi="Times New Roman"/>
          <w:caps w:val="false"/>
          <w:smallCaps w:val="false"/>
          <w:sz w:val="20"/>
        </w:rPr>
        <w:t xml:space="preserve">in the U.S. District Court for the District of New Jersey. The complaint alleges various violations, including breach of implied warranty, unjust enrichment, and violations of the New Jersey Products Liability Act. While the Company ceased selling these steamers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defense of this existing litigation, and the potential for additional product liability or class action lawsuits, could result in significant legal expenses, settlements, or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13, 2026, </w:t>
      </w:r>
      <w:r>
        <w:rPr>
          <w:rFonts w:ascii="Times New Roman" w:hAnsi="Times New Roman"/>
          <w:caps w:val="false"/>
          <w:smallCaps w:val="false"/>
          <w:sz w:val="20"/>
        </w:rPr>
        <w:t>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Total accrued liabilities related to estimated product recall costs were $0.1 million and $0.4 million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respectively.</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020" w:type="dxa"/>
        <w:jc w:val="left"/>
        <w:tblInd w:w="0" w:type="dxa"/>
        <w:tblLayout w:type="fixed"/>
        <w:tblCellMar>
          <w:top w:w="0" w:type="dxa"/>
          <w:left w:w="0" w:type="dxa"/>
          <w:bottom w:w="0" w:type="dxa"/>
          <w:right w:w="0" w:type="dxa"/>
        </w:tblCellMar>
      </w:tblPr>
      <w:tblGrid>
        <w:gridCol w:w="320"/>
        <w:gridCol w:w="170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w:t>
            </w:r>
          </w:p>
        </w:tc>
        <w:tc>
          <w:tcPr>
            <w:tcW w:w="17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14, 2025, </w:t>
      </w:r>
      <w:r>
        <w:rPr>
          <w:rFonts w:ascii="Times New Roman" w:hAnsi="Times New Roman"/>
          <w:caps w:val="false"/>
          <w:smallCaps w:val="false"/>
          <w:sz w:val="20"/>
        </w:rPr>
        <w:t xml:space="preserve">the Company announced a fixed cost reduction plan, which included a workforce reduction affecting approximately 20 employees. The Company had substantially completed this reduction as of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Severance payments were completed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2026, </w:t>
      </w:r>
      <w:r>
        <w:rPr>
          <w:rFonts w:ascii="Times New Roman" w:hAnsi="Times New Roman"/>
          <w:caps w:val="false"/>
          <w:smallCaps w:val="false"/>
          <w:sz w:val="20"/>
        </w:rPr>
        <w:t>the Company implemented a fixed cost reduction plan that included a workforce reduction affecting approximately 16 employees and independent contractors. The Company has substantially completed this reduction as of </w:t>
      </w:r>
      <w:r>
        <w:rPr>
          <w:rStyle w:val="Emphasis"/>
          <w:rFonts w:ascii="Times New Roman" w:hAnsi="Times New Roman"/>
          <w:caps w:val="false"/>
          <w:smallCaps w:val="false"/>
          <w:sz w:val="20"/>
        </w:rPr>
        <w:t xml:space="preserve"> March 31, 2026. </w:t>
      </w:r>
      <w:r>
        <w:rPr>
          <w:rFonts w:ascii="Times New Roman" w:hAnsi="Times New Roman"/>
          <w:caps w:val="false"/>
          <w:smallCaps w:val="false"/>
          <w:sz w:val="20"/>
        </w:rPr>
        <w:t xml:space="preserve">In connection with this plan, the Company recognized restructuring charges of approximately $0.3 million, which is recorded in Sales and Distribution expenses, primarily related to severance,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Severance payments were completed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accounting for the restructuring costs follows the provisions of ASC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restructuring costs incurred (in thousands):</w:t>
      </w:r>
    </w:p>
    <w:p>
      <w:pPr>
        <w:pStyle w:val="TextBody"/>
        <w:bidi w:val="0"/>
        <w:spacing w:before="0" w:after="0"/>
        <w:ind w:left="0" w:right="0" w:hanging="0"/>
        <w:jc w:val="both"/>
        <w:rPr>
          <w:caps w:val="false"/>
          <w:smallCaps w:val="false"/>
        </w:rPr>
      </w:pPr>
      <w:r>
        <w:rPr>
          <w:caps w:val="false"/>
          <w:smallCaps w:val="false"/>
        </w:rPr>
        <w:t> </w:t>
      </w:r>
    </w:p>
    <w:tbl>
      <w:tblPr>
        <w:tblW w:w="5803" w:type="dxa"/>
        <w:jc w:val="left"/>
        <w:tblInd w:w="0" w:type="dxa"/>
        <w:tblLayout w:type="fixed"/>
        <w:tblCellMar>
          <w:top w:w="0" w:type="dxa"/>
          <w:left w:w="0" w:type="dxa"/>
          <w:bottom w:w="0" w:type="dxa"/>
          <w:right w:w="0" w:type="dxa"/>
        </w:tblCellMar>
      </w:tblPr>
      <w:tblGrid>
        <w:gridCol w:w="1985"/>
        <w:gridCol w:w="60"/>
        <w:gridCol w:w="484"/>
        <w:gridCol w:w="1305"/>
        <w:gridCol w:w="60"/>
        <w:gridCol w:w="60"/>
        <w:gridCol w:w="366"/>
        <w:gridCol w:w="1423"/>
        <w:gridCol w:w="6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2"/>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2"/>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severance</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costs</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323" w:type="dxa"/>
        <w:jc w:val="left"/>
        <w:tblInd w:w="0" w:type="dxa"/>
        <w:tblLayout w:type="fixed"/>
        <w:tblCellMar>
          <w:top w:w="0" w:type="dxa"/>
          <w:left w:w="0" w:type="dxa"/>
          <w:bottom w:w="0" w:type="dxa"/>
          <w:right w:w="0" w:type="dxa"/>
        </w:tblCellMar>
      </w:tblPr>
      <w:tblGrid>
        <w:gridCol w:w="1985"/>
        <w:gridCol w:w="60"/>
        <w:gridCol w:w="419"/>
        <w:gridCol w:w="1130"/>
        <w:gridCol w:w="60"/>
        <w:gridCol w:w="60"/>
        <w:gridCol w:w="317"/>
        <w:gridCol w:w="1232"/>
        <w:gridCol w:w="6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9" w:type="dxa"/>
            <w:gridSpan w:val="2"/>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9" w:type="dxa"/>
            <w:gridSpan w:val="2"/>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severance</w:t>
            </w:r>
          </w:p>
        </w:tc>
        <w:tc>
          <w:tcPr>
            <w:tcW w:w="60" w:type="dxa"/>
            <w:tcBorders/>
            <w:shd w:fill="CCEEFF" w:val="cle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costs</w:t>
            </w:r>
          </w:p>
        </w:tc>
        <w:tc>
          <w:tcPr>
            <w:tcW w:w="60" w:type="dxa"/>
            <w:tcBorders/>
            <w:shd w:fill="FFFFFF" w:val="clear"/>
            <w:vAlign w:val="center"/>
          </w:tcPr>
          <w:p>
            <w:pPr>
              <w:pStyle w:val="TableContents"/>
              <w:bidi w:val="0"/>
              <w:spacing w:before="0" w:after="283"/>
              <w:ind w:left="0" w:right="0" w:hanging="0"/>
              <w:jc w:val="left"/>
              <w:rPr/>
            </w:pPr>
            <w:r>
              <w:rPr/>
              <w:t> </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total restructuring reserve (in thousands):</w:t>
      </w:r>
    </w:p>
    <w:p>
      <w:pPr>
        <w:pStyle w:val="TextBody"/>
        <w:bidi w:val="0"/>
        <w:spacing w:before="0" w:after="0"/>
        <w:ind w:left="0" w:right="0" w:hanging="0"/>
        <w:jc w:val="left"/>
        <w:rPr>
          <w:caps w:val="false"/>
          <w:smallCaps w:val="false"/>
        </w:rPr>
      </w:pPr>
      <w:r>
        <w:rPr>
          <w:caps w:val="false"/>
          <w:smallCaps w:val="false"/>
        </w:rPr>
        <w:t> </w:t>
      </w:r>
    </w:p>
    <w:tbl>
      <w:tblPr>
        <w:tblW w:w="4379" w:type="dxa"/>
        <w:jc w:val="left"/>
        <w:tblInd w:w="0" w:type="dxa"/>
        <w:tblLayout w:type="fixed"/>
        <w:tblCellMar>
          <w:top w:w="0" w:type="dxa"/>
          <w:left w:w="0" w:type="dxa"/>
          <w:bottom w:w="0" w:type="dxa"/>
          <w:right w:w="0" w:type="dxa"/>
        </w:tblCellMar>
      </w:tblPr>
      <w:tblGrid>
        <w:gridCol w:w="2450"/>
        <w:gridCol w:w="60"/>
        <w:gridCol w:w="428"/>
        <w:gridCol w:w="1361"/>
        <w:gridCol w:w="8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Employee Severance</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60"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ind w:left="0" w:right="0" w:hanging="0"/>
              <w:jc w:val="left"/>
              <w:rPr/>
            </w:pPr>
            <w:r>
              <w:rPr/>
              <w:t> </w:t>
            </w:r>
          </w:p>
        </w:tc>
        <w:tc>
          <w:tcPr>
            <w:tcW w:w="13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Usage-cash</w:t>
            </w:r>
          </w:p>
        </w:tc>
        <w:tc>
          <w:tcPr>
            <w:tcW w:w="60" w:type="dxa"/>
            <w:tcBorders/>
            <w:shd w:fill="CCEEFF" w:val="clear"/>
            <w:vAlign w:val="center"/>
          </w:tcPr>
          <w:p>
            <w:pPr>
              <w:pStyle w:val="TableContents"/>
              <w:bidi w:val="0"/>
              <w:spacing w:before="0" w:after="283"/>
              <w:jc w:val="left"/>
              <w:rPr/>
            </w:pPr>
            <w:r>
              <w:rPr/>
              <w:t> </w:t>
            </w:r>
          </w:p>
        </w:tc>
        <w:tc>
          <w:tcPr>
            <w:tcW w:w="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did not have a liability for restructuring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Company had a liability of $0.5 million for restructuring costs, respectively, which are included in accrued and other current liabilities on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assess the restructuring plan's progress and provide updates as required in future financial statements if there are material changes to the initial estimates or additional significant restructuring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785" w:type="dxa"/>
        <w:jc w:val="left"/>
        <w:tblInd w:w="0" w:type="dxa"/>
        <w:tblLayout w:type="fixed"/>
        <w:tblCellMar>
          <w:top w:w="0" w:type="dxa"/>
          <w:left w:w="0" w:type="dxa"/>
          <w:bottom w:w="0" w:type="dxa"/>
          <w:right w:w="0" w:type="dxa"/>
        </w:tblCellMar>
      </w:tblPr>
      <w:tblGrid>
        <w:gridCol w:w="320"/>
        <w:gridCol w:w="2465"/>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14.</w:t>
            </w:r>
            <w:r>
              <w:rPr>
                <w:rFonts w:ascii="Times New Roman;Times;serif" w:hAnsi="Times New Roman;Times;serif"/>
                <w:b/>
                <w:sz w:val="20"/>
              </w:rPr>
              <w:t xml:space="preserve"> </w:t>
            </w:r>
          </w:p>
        </w:tc>
        <w:tc>
          <w:tcPr>
            <w:tcW w:w="2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The Company has determined that it has one operating segment. The Company's chief operating decision maker ("CODM") is its chief executive officer, who reviews financial information presented on a consolidated basis. The CODM uses consolidated operating margin and net income to assess financial performance and allocate resources. These financial metrics are used by the CODM to make key operating decisions, such as the determination of the rate at which the Company seeks to grow operating margin and the allocation of budget between cost of goods sold, variable sales costs, and other vendor and payroll expenses.</w:t>
      </w:r>
    </w:p>
    <w:p>
      <w:pPr>
        <w:pStyle w:val="TextBody"/>
        <w:bidi w:val="0"/>
        <w:spacing w:before="0" w:after="0"/>
        <w:ind w:left="0" w:right="0" w:hanging="0"/>
        <w:jc w:val="left"/>
        <w:rPr/>
      </w:pPr>
      <w:r>
        <w:rPr/>
        <w:t> </w:t>
      </w:r>
    </w:p>
    <w:tbl>
      <w:tblPr>
        <w:tblW w:w="5576" w:type="dxa"/>
        <w:jc w:val="left"/>
        <w:tblInd w:w="0" w:type="dxa"/>
        <w:tblLayout w:type="fixed"/>
        <w:tblCellMar>
          <w:top w:w="0" w:type="dxa"/>
          <w:left w:w="0" w:type="dxa"/>
          <w:bottom w:w="0" w:type="dxa"/>
          <w:right w:w="0" w:type="dxa"/>
        </w:tblCellMar>
      </w:tblPr>
      <w:tblGrid>
        <w:gridCol w:w="2930"/>
        <w:gridCol w:w="60"/>
        <w:gridCol w:w="211"/>
        <w:gridCol w:w="924"/>
        <w:gridCol w:w="135"/>
        <w:gridCol w:w="101"/>
        <w:gridCol w:w="211"/>
        <w:gridCol w:w="924"/>
        <w:gridCol w:w="8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vendor and payroll expenses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3,525</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items(1)</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5367" w:type="dxa"/>
        <w:jc w:val="left"/>
        <w:tblInd w:w="0" w:type="dxa"/>
        <w:tblLayout w:type="fixed"/>
        <w:tblCellMar>
          <w:top w:w="0" w:type="dxa"/>
          <w:left w:w="0" w:type="dxa"/>
          <w:bottom w:w="0" w:type="dxa"/>
          <w:right w:w="0" w:type="dxa"/>
        </w:tblCellMar>
      </w:tblPr>
      <w:tblGrid>
        <w:gridCol w:w="2930"/>
        <w:gridCol w:w="60"/>
        <w:gridCol w:w="194"/>
        <w:gridCol w:w="846"/>
        <w:gridCol w:w="124"/>
        <w:gridCol w:w="93"/>
        <w:gridCol w:w="194"/>
        <w:gridCol w:w="846"/>
        <w:gridCol w:w="8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vendor and payroll expenses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6,228</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items(1)</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from continuing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(7,397</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16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Other segment items primarily include income taxes, interest expense, other income, gain on extinguishment of debt, and the change in fair value of warrant liabilities.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CODM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total assets as a financial metric when making key operating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470" w:type="dxa"/>
        <w:jc w:val="left"/>
        <w:tblInd w:w="0" w:type="dxa"/>
        <w:tblLayout w:type="fixed"/>
        <w:tblCellMar>
          <w:top w:w="0" w:type="dxa"/>
          <w:left w:w="0" w:type="dxa"/>
          <w:bottom w:w="0" w:type="dxa"/>
          <w:right w:w="0" w:type="dxa"/>
        </w:tblCellMar>
      </w:tblPr>
      <w:tblGrid>
        <w:gridCol w:w="320"/>
        <w:gridCol w:w="215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15.</w:t>
            </w:r>
            <w:r>
              <w:rPr>
                <w:rFonts w:ascii="Times New Roman;Times;serif" w:hAnsi="Times New Roman;Times;serif"/>
                <w:b/>
                <w:sz w:val="20"/>
              </w:rPr>
              <w:t xml:space="preserve"> </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July 17, 2026, </w:t>
      </w:r>
      <w:r>
        <w:rPr>
          <w:rFonts w:ascii="Times New Roman;Times;serif" w:hAnsi="Times New Roman;Times;serif"/>
          <w:sz w:val="20"/>
        </w:rPr>
        <w:t>the Company completed its sale of assets to Trademark Global pursuant to the Asset Purchase Agreement. Pursuant to the Asset Purchase Agreement, Trademark Global acquired certain specified assets and liabilities of the Company, including, among other things, assets associated with the Company’s marquee consumer brands: Mueller Living, PurSteam, hOmeLabs, Squatty Potty, Healing Solutions, and Photo Paper Direct for $18.0 million in cash, subject to certain purchase price adjustments.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July 17, 2026, </w:t>
      </w:r>
      <w:r>
        <w:rPr>
          <w:rFonts w:ascii="Times New Roman;Times;serif" w:hAnsi="Times New Roman;Times;serif"/>
          <w:sz w:val="20"/>
        </w:rPr>
        <w:t xml:space="preserve">the Company completed its sale of preferred stock to Lazar, pursuant to the Securities Purchase Agreement. Pursuant to the Securities Purchase Agreement, Lazar purchased from the Company (a) 1,750,000 shares of Series AA Preferred Stock, the closing of which occurred on </w:t>
      </w:r>
      <w:r>
        <w:rPr>
          <w:rStyle w:val="Emphasis"/>
          <w:rFonts w:ascii="Times New Roman;Times;serif" w:hAnsi="Times New Roman;Times;serif"/>
          <w:sz w:val="20"/>
        </w:rPr>
        <w:t xml:space="preserve">April 27, 2026, </w:t>
      </w:r>
      <w:r>
        <w:rPr>
          <w:rFonts w:ascii="Times New Roman;Times;serif" w:hAnsi="Times New Roman;Times;serif"/>
          <w:sz w:val="20"/>
        </w:rPr>
        <w:t xml:space="preserve">and (b) 1,750,000 shares of Series AAA Preferred Stock, the closing of which occurred on </w:t>
      </w:r>
      <w:r>
        <w:rPr>
          <w:rStyle w:val="Emphasis"/>
          <w:rFonts w:ascii="Times New Roman;Times;serif" w:hAnsi="Times New Roman;Times;serif"/>
          <w:sz w:val="20"/>
        </w:rPr>
        <w:t xml:space="preserve">July 17, 2026, </w:t>
      </w:r>
      <w:r>
        <w:rPr>
          <w:rFonts w:ascii="Times New Roman;Times;serif" w:hAnsi="Times New Roman;Times;serif"/>
          <w:sz w:val="20"/>
        </w:rPr>
        <w:t xml:space="preserve">in each case at a purchase price of $2.00 per share of Preferred Stock for aggregate gross proceeds of $7.0 million, subject to the terms and conditions of the Securities Purchase Agreement. As the Company received the requisite approvals at the Special Meeting, each (i) Series AA Preferred Share </w:t>
      </w:r>
      <w:r>
        <w:rPr>
          <w:rStyle w:val="Emphasis"/>
          <w:rFonts w:ascii="Times New Roman;Times;serif" w:hAnsi="Times New Roman;Times;serif"/>
          <w:sz w:val="20"/>
        </w:rPr>
        <w:t xml:space="preserve">may </w:t>
      </w:r>
      <w:r>
        <w:rPr>
          <w:rFonts w:ascii="Times New Roman;Times;serif" w:hAnsi="Times New Roman;Times;serif"/>
          <w:sz w:val="20"/>
        </w:rPr>
        <w:t xml:space="preserve">be converted into 7.7 shares of common stock, which number is based on a conversion price of $0.25974, as determined in accordance with the terms of the Securities Purchase Agreement, and (ii) Series AAA Preferred Share </w:t>
      </w:r>
      <w:r>
        <w:rPr>
          <w:rStyle w:val="Emphasis"/>
          <w:rFonts w:ascii="Times New Roman;Times;serif" w:hAnsi="Times New Roman;Times;serif"/>
          <w:sz w:val="20"/>
        </w:rPr>
        <w:t xml:space="preserve">may </w:t>
      </w:r>
      <w:r>
        <w:rPr>
          <w:rFonts w:ascii="Times New Roman;Times;serif" w:hAnsi="Times New Roman;Times;serif"/>
          <w:sz w:val="20"/>
        </w:rPr>
        <w:t>be converted into 135.1 shares of common stock, which number is based on a conversion price of $0.0148, as determined in accordance with the terms of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connection with the closing of these transactions, the Company entered into a Contingent Value Rights Agreement with Broadridge Corporate Issuer Solutions, LLC, as Rights Agent, 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Each contingent value right represents a non-transferable contractual right to receive pro rata cash distributions derived from specified future proceeds, including net proceeds from the Asset Sale after satisfaction of certain indebtedness and transaction costs, setting aside $1.0 million for ongoing operational expenses, and establishing up to $6.0 million in reserves for specified liabilities. Additional potential proceeds include any remaining amounts from the specified liability reserves upon full satisfaction of such liabilities, net proceeds from future sales of remaining legacy assets and inventory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acquired by Trademark Global, and net proceeds from tax or tariff refunds, drawbacks, customs claims, or released restricted cash and escrow amounts held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Board established </w:t>
      </w:r>
      <w:r>
        <w:rPr>
          <w:rStyle w:val="Emphasis"/>
          <w:rFonts w:ascii="Times New Roman" w:hAnsi="Times New Roman"/>
          <w:caps w:val="false"/>
          <w:smallCaps w:val="false"/>
          <w:sz w:val="20"/>
        </w:rPr>
        <w:t xml:space="preserve">August 17, 2026, </w:t>
      </w:r>
      <w:r>
        <w:rPr>
          <w:rFonts w:ascii="Times New Roman" w:hAnsi="Times New Roman"/>
          <w:caps w:val="false"/>
          <w:smallCaps w:val="false"/>
          <w:sz w:val="20"/>
        </w:rPr>
        <w:t xml:space="preserve">as the distribution date of the contingent value rights to record holders. Upon the closing of the transactions 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the condition precedent was satisfied. Consequently, the contingent value right obligation will be measured at fair value as of the effective date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recognized as a distribution from equity, within retained earnings or additional paid-in capital, with a corresponding contingent value right liability or equity instrument as evaluated under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contingent value rights represent contractual payment rights only,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carry voting or dividend rights, accrue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interest,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equity ownership in the Company.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in connection with the closing of the asset and preferred stock sales, all remaining commitments under the Existing Credit Agreement with MidCap Funding IV Trust were terminated, and all associated financial obligations thereunder were settled in full. Concurrently, all guarantees, mortgages, security interests, and liens securing the indebtedness under the Existing Credit Agreement were fully discharged and released.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currently evaluating the accounting for the transaction, and an estimate of the financial effect, including the final gain or loss on the sale, cannot be made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 xml:space="preserve">David E. Lazar was appointed as the Chief Executive Officer of the Company, succeeding Arturo Rodriguez, who ceased serving as Chief Executive Officer while remaining on the Company's Board of Directors. In connection with this transition, the Company entered into a Transition and Separation Agreement with Mr. Rodriguez to provide operational transition services through </w:t>
      </w:r>
      <w:r>
        <w:rPr>
          <w:rStyle w:val="Emphasis"/>
          <w:rFonts w:ascii="Times New Roman" w:hAnsi="Times New Roman"/>
          <w:caps w:val="false"/>
          <w:smallCaps w:val="false"/>
          <w:sz w:val="20"/>
        </w:rPr>
        <w:t>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4, 2026, </w:t>
      </w:r>
      <w:r>
        <w:rPr>
          <w:rFonts w:ascii="Times New Roman" w:hAnsi="Times New Roman"/>
          <w:caps w:val="false"/>
          <w:smallCaps w:val="false"/>
          <w:sz w:val="20"/>
        </w:rPr>
        <w:t>875,000 shares of Series AA preferred stock were converted into 6,737,500 shares of common stock for David E. Lazar (at a conversion ratio of 7.7 common shares per preferred share).</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with our audited consolidated financial statements and related notes thereto for the year ended December 31, 2025 included in our Annual Report on Form 10-K for the year ended December 31, 2025 as filed with the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on March 20, 2026. As discussed in the section titled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w:t>
      </w:r>
      <w:r>
        <w:rPr>
          <w:rFonts w:ascii="Times New Roman" w:hAnsi="Times New Roman"/>
          <w:i/>
          <w:caps w:val="false"/>
          <w:smallCaps w:val="false"/>
          <w:sz w:val="20"/>
        </w:rPr>
        <w:t xml:space="preserve">,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w:t>
      </w:r>
      <w:r>
        <w:rPr>
          <w:rFonts w:ascii="Times New Roman" w:hAnsi="Times New Roman"/>
          <w:caps w:val="false"/>
          <w:smallCaps w:val="false"/>
          <w:sz w:val="20"/>
        </w:rPr>
        <w:t>“</w:t>
      </w:r>
      <w:r>
        <w:rPr>
          <w:rFonts w:ascii="Times New Roman" w:hAnsi="Times New Roman"/>
          <w:i/>
          <w:caps w:val="false"/>
          <w:smallCaps w:val="false"/>
          <w:sz w:val="20"/>
        </w:rPr>
        <w:t>Cautionary Note Regarding Forward 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those discussed in the section 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under Part II, Item 1A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otherwise requires, the terms </w:t>
      </w:r>
      <w:r>
        <w:rPr>
          <w:rFonts w:ascii="Times New Roman" w:hAnsi="Times New Roman"/>
          <w:caps w:val="false"/>
          <w:smallCaps w:val="false"/>
          <w:sz w:val="20"/>
        </w:rPr>
        <w:t>“</w:t>
      </w:r>
      <w:r>
        <w:rPr>
          <w:rFonts w:ascii="Times New Roman" w:hAnsi="Times New Roman"/>
          <w:i/>
          <w:caps w:val="false"/>
          <w:smallCaps w:val="false"/>
          <w:sz w:val="20"/>
        </w:rPr>
        <w:t>Aterian,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this Quarterly Report on Form 10-Q refer to Aterian, Inc. and our consolidated subsidiaries, including Aterian Group,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Seasonality of Business and Product Mix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Operations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Net Revenue</w:t>
      </w:r>
      <w:r>
        <w:rPr>
          <w:rFonts w:ascii="Times New Roman" w:hAnsi="Times New Roman"/>
          <w:caps w:val="false"/>
          <w:smallCaps w:val="false"/>
          <w:sz w:val="20"/>
        </w:rPr>
        <w:t>—We derive our revenue from the sale of consumer products, primarily in the U.S. We sell products directly to consumers through online retail channels and through wholesale channels. Direct-to-consumer sales (i.e., direct net revenue), which is currently the majority of our revenue, is done through various online retail channels. We sell on Amazon.com, Walmart.com, Target.com and our own websites, with the large majority of our sales being made through Amazon.com. For all of our sales and distribution channels, revenue is recognized when control of the product is transferred to the customer (i.e., when our performance obligation is satisfied), which typically occurs at the shipment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Cost of Goods Sold</w:t>
      </w:r>
      <w:r>
        <w:rPr>
          <w:rFonts w:ascii="Times New Roman" w:hAnsi="Times New Roman"/>
          <w:caps w:val="false"/>
          <w:smallCaps w:val="false"/>
          <w:sz w:val="20"/>
        </w:rPr>
        <w:t>—Cost of goods sold consists of the book value of inventory sold to customers during the reporting period. Book value of inventory includes the amounts we pay manufacturers for product, tariffs and duties associated with transporting product across national borders, and freight costs associated with transporting the product from our manufacturers to our warehouses, as applicable. Shrinkage costs are also recognized within the cost of goods sold. When circumstances dictate that we use net realizable value as the basis for recording inventory, we base our estimates on expected future selling prices, less expected disposal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2025 and early 2026, the U.S. government announced and implemented a series of expanded tariff policies affecting imports from several countries, including China. While these actions impact a range of global trade flows, tariffs targeting imports from China have had the most material impact on our supply chain and operating costs. As a result, we experienced an increase in our cost of goods sold during the year ended December 31, 2025, and the three months ended March 31, 2026. In response, we implemented targeted price increases across affected product categories to partially offset higher input costs. These pricing actions, however, contributed to a decline in unit volumes as consumer demand responded to higher retail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the Company received $2.7 million from the U.S. Customs and Border Protection related to previously paid import duties, consisting of $2.6 million in duty refunds and $0.1 million in associated interest income. Of the duty refunds, $2.3 million was recorded as a reduction to cost of goods sold within Income (loss) from discontinued operations for inventory that had previously been sold, and $0.3 million was recorded as a reduction to the carrying value of inventory included within assets held for sale on the Condensed Consolidated Balance Sheet for unsold goods remaining on hand at June 30, 2026. The $0.1 million of interest was recorded within interest income on the Condensed Consolidated Statements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and Distribution Expenses</w:t>
      </w:r>
      <w:r>
        <w:rPr>
          <w:rFonts w:ascii="Times New Roman" w:hAnsi="Times New Roman"/>
          <w:caps w:val="false"/>
          <w:smallCaps w:val="false"/>
          <w:sz w:val="20"/>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cash and stock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General and Administrative Expenses</w:t>
      </w:r>
      <w:r>
        <w:rPr>
          <w:rFonts w:ascii="Times New Roman" w:hAnsi="Times New Roman"/>
          <w:caps w:val="false"/>
          <w:smallCaps w:val="false"/>
          <w:sz w:val="20"/>
        </w:rPr>
        <w:t>—General and administrative expenses include cash and stock compensation and employee benefits for executive management, finance administration, legal, and human resources, facility costs, insurance, travel, professional service fees, and other general overhead costs, including the costs of being a public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Interest Expense, Net</w:t>
      </w:r>
      <w:r>
        <w:rPr>
          <w:rFonts w:ascii="Times New Roman" w:hAnsi="Times New Roman"/>
          <w:caps w:val="false"/>
          <w:smallCaps w:val="false"/>
          <w:sz w:val="20"/>
        </w:rPr>
        <w:t>—Interest expense, net includes the interest cost from our credit facility, and includes amortization of deferred finance costs and debt discounts from our credit facility (the “Credit Facility”) with MidCap Funding IV Trust (“MidCap”).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27, 2026, the Company entered into a series of definitive agreements to fundamentally restructure its operations and capital position. On July 17, 2026, following stockholder approval, the Company completed the sale of specified assets and liabilities associated with its marquee consumer brands—including Mueller Living, PurSteam, hOmeLabs, Squatty Potty, Healing Solutions, and Photo Paper Direct to Trademark Global, LLC ("Trademark Global") for $18.0 million in cash, subject to customary post-closing adjustments (the "Asset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these marquee brands represented a strategic shift and comprised a major portion of the Company’s historical operations, the financial results of these brands have been classified as discontinued operations in the Condensed Consolidated Financial Statements for all periods presented. Following the closing of the Asset Sale, the Company expects to continue operating its remaining retained legacy brands, including Vremi and Xtava.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Concurrently with the Asset Sale, on July 17, 2026, the Company completed the final closing under a Securities Purchase Agreement, dated April 27, 2026 (the “Securities Purchase Agreement”), with David E. Lazar for the issuance and sale of Series AA Convertible Non-Redeemable Preferred Stock, par value $0.0001 per share, of the Company (the “Series AA Preferred Stock” and such purchased shares, the “Series AA Preferred Shares”) and Series AAA Convertible Non-Redeemable Preferred Stock, par value $0.0001 per share, of the Company (the “Series AAA Preferred Stock” and together with the Series AA Preferred Stock, the “Preferred Stock” and such purchased shares, the “Series AAA Preferred Shares” and together with the Series AA Preferred Shares, the “Purchased Shares”)for aggregate gross proceeds of $7.0 million (the “Preferred Stock Sale”). This capital infusion, combined with the net proceeds realized from the Asset Sale, was utilized to satisfy outstanding debt obligations, pay transaction fees, and restructure the Company’s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provide a meaningful comparison of our ongoing business performance, the following discussion separately analyzes the results of our continuing operations and the impact of discontinued operations for the three and six months ended June 30, 2026 and 2025.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Continuing Operations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continuing operations:</w:t>
      </w:r>
    </w:p>
    <w:p>
      <w:pPr>
        <w:pStyle w:val="TextBody"/>
        <w:bidi w:val="0"/>
        <w:spacing w:before="0" w:after="0"/>
        <w:ind w:left="180" w:right="0" w:hanging="0"/>
        <w:jc w:val="left"/>
        <w:rPr/>
      </w:pPr>
      <w:r>
        <w:rPr/>
        <w:t> </w:t>
      </w:r>
    </w:p>
    <w:tbl>
      <w:tblPr>
        <w:tblW w:w="8747" w:type="dxa"/>
        <w:jc w:val="left"/>
        <w:tblInd w:w="0" w:type="dxa"/>
        <w:tblLayout w:type="fixed"/>
        <w:tblCellMar>
          <w:top w:w="0" w:type="dxa"/>
          <w:left w:w="0" w:type="dxa"/>
          <w:bottom w:w="0" w:type="dxa"/>
          <w:right w:w="0" w:type="dxa"/>
        </w:tblCellMar>
      </w:tblPr>
      <w:tblGrid>
        <w:gridCol w:w="4325"/>
        <w:gridCol w:w="60"/>
        <w:gridCol w:w="214"/>
        <w:gridCol w:w="935"/>
        <w:gridCol w:w="137"/>
        <w:gridCol w:w="102"/>
        <w:gridCol w:w="214"/>
        <w:gridCol w:w="935"/>
        <w:gridCol w:w="80"/>
        <w:gridCol w:w="60"/>
        <w:gridCol w:w="142"/>
        <w:gridCol w:w="553"/>
        <w:gridCol w:w="80"/>
        <w:gridCol w:w="60"/>
        <w:gridCol w:w="60"/>
        <w:gridCol w:w="545"/>
        <w:gridCol w:w="245"/>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17"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administrative(1)</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3,772</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3,960</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24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(3,959</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pPr>
            <w:r>
              <w:rPr/>
              <w:t>—</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0"/>
              <w:jc w:val="left"/>
              <w:rPr/>
            </w:pPr>
            <w:r>
              <w:rPr/>
              <w:t> </w:t>
            </w: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continuing operations, net of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and 2025, $0.3 million and a reversal of $3 thousand of stock-based compensation were included in general and administrative expenses on the Condensed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 decreased $0.1 million, or 91.9%, during the three months ended June 30, 2026 to $7 thousand, compared to $88 thousand for the three months ended June 30, 2025. The decrease in net revenue was primarily attributable to reduction in consumer demand due to the macroeconomic environment.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 and Gross Profit</w:t>
      </w:r>
    </w:p>
    <w:tbl>
      <w:tblPr>
        <w:tblW w:w="5831" w:type="dxa"/>
        <w:jc w:val="left"/>
        <w:tblInd w:w="0" w:type="dxa"/>
        <w:tblLayout w:type="fixed"/>
        <w:tblCellMar>
          <w:top w:w="0" w:type="dxa"/>
          <w:left w:w="0" w:type="dxa"/>
          <w:bottom w:w="0" w:type="dxa"/>
          <w:right w:w="0" w:type="dxa"/>
        </w:tblCellMar>
      </w:tblPr>
      <w:tblGrid>
        <w:gridCol w:w="1535"/>
        <w:gridCol w:w="60"/>
        <w:gridCol w:w="437"/>
        <w:gridCol w:w="437"/>
        <w:gridCol w:w="210"/>
        <w:gridCol w:w="210"/>
        <w:gridCol w:w="437"/>
        <w:gridCol w:w="805"/>
        <w:gridCol w:w="60"/>
        <w:gridCol w:w="60"/>
        <w:gridCol w:w="209"/>
        <w:gridCol w:w="486"/>
        <w:gridCol w:w="80"/>
        <w:gridCol w:w="60"/>
        <w:gridCol w:w="60"/>
        <w:gridCol w:w="440"/>
        <w:gridCol w:w="24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1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ind w:left="0" w:right="0" w:hanging="0"/>
              <w:jc w:val="left"/>
              <w:rPr/>
            </w:pPr>
            <w:r>
              <w:rPr/>
              <w:t>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91" w:type="dxa"/>
            <w:gridSpan w:val="14"/>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4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1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4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4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1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4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decreased $41 thousand, or 87.7%, during the three months ended June 30, 2026 to $6 thousand, compared to $47 thousand for the three months ended June 30, 2025, primarily from reduced sales volumes.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decreased to 14.0% for the three months ended June 30, 2026 from 46.7% for the three months ended June 30, 2025. The decrease in gross profit was due primarily to product mix.</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Distribution Expenses</w:t>
      </w:r>
    </w:p>
    <w:tbl>
      <w:tblPr>
        <w:tblW w:w="6868" w:type="dxa"/>
        <w:jc w:val="left"/>
        <w:tblInd w:w="0" w:type="dxa"/>
        <w:tblLayout w:type="fixed"/>
        <w:tblCellMar>
          <w:top w:w="0" w:type="dxa"/>
          <w:left w:w="0" w:type="dxa"/>
          <w:bottom w:w="0" w:type="dxa"/>
          <w:right w:w="0" w:type="dxa"/>
        </w:tblCellMar>
      </w:tblPr>
      <w:tblGrid>
        <w:gridCol w:w="2570"/>
        <w:gridCol w:w="60"/>
        <w:gridCol w:w="266"/>
        <w:gridCol w:w="715"/>
        <w:gridCol w:w="128"/>
        <w:gridCol w:w="128"/>
        <w:gridCol w:w="266"/>
        <w:gridCol w:w="1035"/>
        <w:gridCol w:w="60"/>
        <w:gridCol w:w="60"/>
        <w:gridCol w:w="167"/>
        <w:gridCol w:w="528"/>
        <w:gridCol w:w="80"/>
        <w:gridCol w:w="60"/>
        <w:gridCol w:w="60"/>
        <w:gridCol w:w="440"/>
        <w:gridCol w:w="24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9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distribution expenses decreased to $0.2 million for the three months ended June 30, 2026, from $1.0 million for the three months ended June 30, 2025. This decrease is primarily attributable to lower restructuring costs of $0.8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General and Administrative Expenses </w:t>
      </w:r>
    </w:p>
    <w:tbl>
      <w:tblPr>
        <w:tblW w:w="7146" w:type="dxa"/>
        <w:jc w:val="left"/>
        <w:tblInd w:w="0" w:type="dxa"/>
        <w:tblLayout w:type="fixed"/>
        <w:tblCellMar>
          <w:top w:w="0" w:type="dxa"/>
          <w:left w:w="0" w:type="dxa"/>
          <w:bottom w:w="0" w:type="dxa"/>
          <w:right w:w="0" w:type="dxa"/>
        </w:tblCellMar>
      </w:tblPr>
      <w:tblGrid>
        <w:gridCol w:w="2990"/>
        <w:gridCol w:w="60"/>
        <w:gridCol w:w="236"/>
        <w:gridCol w:w="919"/>
        <w:gridCol w:w="113"/>
        <w:gridCol w:w="113"/>
        <w:gridCol w:w="236"/>
        <w:gridCol w:w="919"/>
        <w:gridCol w:w="60"/>
        <w:gridCol w:w="60"/>
        <w:gridCol w:w="142"/>
        <w:gridCol w:w="553"/>
        <w:gridCol w:w="60"/>
        <w:gridCol w:w="60"/>
        <w:gridCol w:w="60"/>
        <w:gridCol w:w="380"/>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1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3,772</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general and administrative expenses was primarily the result of an increase of $2.0 million in professional fees, an increase of $0.3 million in stock-compensation expense, and an increase of $0.1 million in headcount expense, partially offset by a decrease in restructuring costs of $0.8 million, and a decrease of $0.4 million in miscellaneous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Interest expense, net </w:t>
      </w:r>
    </w:p>
    <w:tbl>
      <w:tblPr>
        <w:tblW w:w="5968" w:type="dxa"/>
        <w:jc w:val="left"/>
        <w:tblInd w:w="0" w:type="dxa"/>
        <w:tblLayout w:type="fixed"/>
        <w:tblCellMar>
          <w:top w:w="0" w:type="dxa"/>
          <w:left w:w="0" w:type="dxa"/>
          <w:bottom w:w="0" w:type="dxa"/>
          <w:right w:w="0" w:type="dxa"/>
        </w:tblCellMar>
      </w:tblPr>
      <w:tblGrid>
        <w:gridCol w:w="1670"/>
        <w:gridCol w:w="60"/>
        <w:gridCol w:w="305"/>
        <w:gridCol w:w="818"/>
        <w:gridCol w:w="146"/>
        <w:gridCol w:w="146"/>
        <w:gridCol w:w="305"/>
        <w:gridCol w:w="818"/>
        <w:gridCol w:w="60"/>
        <w:gridCol w:w="60"/>
        <w:gridCol w:w="209"/>
        <w:gridCol w:w="486"/>
        <w:gridCol w:w="80"/>
        <w:gridCol w:w="60"/>
        <w:gridCol w:w="60"/>
        <w:gridCol w:w="440"/>
        <w:gridCol w:w="245"/>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93" w:type="dxa"/>
            <w:gridSpan w:val="14"/>
            <w:tcBorders/>
            <w:shd w:fill="FFFFFF" w:val="cle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decrease in interest expense, net of $49 thousand is primarily relating to an increase in interest income of $110 thousand relating to tariff refunds received during the three months ending June 30, 2026, partially offset by an increase in interest expense of $61 thousand.</w:t>
      </w:r>
    </w:p>
    <w:p>
      <w:pPr>
        <w:pStyle w:val="TextBody"/>
        <w:bidi w:val="0"/>
        <w:spacing w:before="0" w:after="0"/>
        <w:ind w:left="0" w:right="0" w:hanging="0"/>
        <w:jc w:val="both"/>
        <w:rPr/>
      </w:pPr>
      <w: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fair market value of warrant liabilities</w:t>
      </w:r>
    </w:p>
    <w:tbl>
      <w:tblPr>
        <w:tblW w:w="8232" w:type="dxa"/>
        <w:jc w:val="left"/>
        <w:tblInd w:w="0" w:type="dxa"/>
        <w:tblLayout w:type="fixed"/>
        <w:tblCellMar>
          <w:top w:w="0" w:type="dxa"/>
          <w:left w:w="0" w:type="dxa"/>
          <w:bottom w:w="0" w:type="dxa"/>
          <w:right w:w="0" w:type="dxa"/>
        </w:tblCellMar>
      </w:tblPr>
      <w:tblGrid>
        <w:gridCol w:w="3950"/>
        <w:gridCol w:w="60"/>
        <w:gridCol w:w="345"/>
        <w:gridCol w:w="717"/>
        <w:gridCol w:w="165"/>
        <w:gridCol w:w="165"/>
        <w:gridCol w:w="345"/>
        <w:gridCol w:w="800"/>
        <w:gridCol w:w="80"/>
        <w:gridCol w:w="60"/>
        <w:gridCol w:w="244"/>
        <w:gridCol w:w="451"/>
        <w:gridCol w:w="60"/>
        <w:gridCol w:w="60"/>
        <w:gridCol w:w="60"/>
        <w:gridCol w:w="485"/>
        <w:gridCol w:w="18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7" w:type="dxa"/>
            <w:gridSpan w:val="14"/>
            <w:tcBorders/>
            <w:shd w:fill="FFFFFF" w:val="cle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market value of warrant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2026 and 2025 activity is related to the change in fair market value of the warrant liabilities from the common stock warrants from our March 2022 equity raise of capital. The change in fair value of warrant liabilities during the three months ending June 30, 2026 primarily relates to the reduced share price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Gain on extinguishment of debt</w:t>
      </w:r>
    </w:p>
    <w:tbl>
      <w:tblPr>
        <w:tblW w:w="6785" w:type="dxa"/>
        <w:jc w:val="left"/>
        <w:tblInd w:w="0" w:type="dxa"/>
        <w:tblLayout w:type="fixed"/>
        <w:tblCellMar>
          <w:top w:w="0" w:type="dxa"/>
          <w:left w:w="0" w:type="dxa"/>
          <w:bottom w:w="0" w:type="dxa"/>
          <w:right w:w="0" w:type="dxa"/>
        </w:tblCellMar>
      </w:tblPr>
      <w:tblGrid>
        <w:gridCol w:w="2615"/>
        <w:gridCol w:w="60"/>
        <w:gridCol w:w="303"/>
        <w:gridCol w:w="960"/>
        <w:gridCol w:w="194"/>
        <w:gridCol w:w="145"/>
        <w:gridCol w:w="303"/>
        <w:gridCol w:w="631"/>
        <w:gridCol w:w="60"/>
        <w:gridCol w:w="60"/>
        <w:gridCol w:w="200"/>
        <w:gridCol w:w="539"/>
        <w:gridCol w:w="60"/>
        <w:gridCol w:w="60"/>
        <w:gridCol w:w="60"/>
        <w:gridCol w:w="335"/>
        <w:gridCol w:w="200"/>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0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4"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0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10" w:type="dxa"/>
            <w:gridSpan w:val="14"/>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0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extinguishment of debt</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5"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the Company settled its seller note payable and recognized a gain on extinguishment of debt of approximately $0.3 million.</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continuing operations:</w:t>
      </w:r>
    </w:p>
    <w:p>
      <w:pPr>
        <w:pStyle w:val="TextBody"/>
        <w:bidi w:val="0"/>
        <w:spacing w:before="0" w:after="0"/>
        <w:ind w:left="180" w:right="0" w:hanging="0"/>
        <w:jc w:val="left"/>
        <w:rPr/>
      </w:pPr>
      <w:r>
        <w:rPr/>
        <w:t> </w:t>
      </w:r>
    </w:p>
    <w:tbl>
      <w:tblPr>
        <w:tblW w:w="8507" w:type="dxa"/>
        <w:jc w:val="left"/>
        <w:tblInd w:w="0" w:type="dxa"/>
        <w:tblLayout w:type="fixed"/>
        <w:tblCellMar>
          <w:top w:w="0" w:type="dxa"/>
          <w:left w:w="0" w:type="dxa"/>
          <w:bottom w:w="0" w:type="dxa"/>
          <w:right w:w="0" w:type="dxa"/>
        </w:tblCellMar>
      </w:tblPr>
      <w:tblGrid>
        <w:gridCol w:w="4325"/>
        <w:gridCol w:w="60"/>
        <w:gridCol w:w="194"/>
        <w:gridCol w:w="846"/>
        <w:gridCol w:w="124"/>
        <w:gridCol w:w="93"/>
        <w:gridCol w:w="194"/>
        <w:gridCol w:w="846"/>
        <w:gridCol w:w="80"/>
        <w:gridCol w:w="60"/>
        <w:gridCol w:w="167"/>
        <w:gridCol w:w="528"/>
        <w:gridCol w:w="80"/>
        <w:gridCol w:w="60"/>
        <w:gridCol w:w="60"/>
        <w:gridCol w:w="545"/>
        <w:gridCol w:w="245"/>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77"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2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administrative(1)</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7,179</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(7,168</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pPr>
            <w:r>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(7,397</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continuing operations, net of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(7,397</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During the six months ended June 30, 2026 and 2025, $0.7 million and $0.6 million of stock-based compensation were included in general and administrative expenses on the Condensed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 decreased $0.1 million, or 83.4%, during the six months ended June 30, 2026 to $25 thousand, compared to $0.2 million for the six months ended June 30, 2025. The decrease in net revenue was primarily attributable to reduction in consumer demand due to the macroeconomic environment.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 and Gross Profit</w:t>
      </w:r>
    </w:p>
    <w:tbl>
      <w:tblPr>
        <w:tblW w:w="5593" w:type="dxa"/>
        <w:jc w:val="left"/>
        <w:tblInd w:w="0" w:type="dxa"/>
        <w:tblLayout w:type="fixed"/>
        <w:tblCellMar>
          <w:top w:w="0" w:type="dxa"/>
          <w:left w:w="0" w:type="dxa"/>
          <w:bottom w:w="0" w:type="dxa"/>
          <w:right w:w="0" w:type="dxa"/>
        </w:tblCellMar>
      </w:tblPr>
      <w:tblGrid>
        <w:gridCol w:w="1535"/>
        <w:gridCol w:w="60"/>
        <w:gridCol w:w="346"/>
        <w:gridCol w:w="637"/>
        <w:gridCol w:w="166"/>
        <w:gridCol w:w="166"/>
        <w:gridCol w:w="346"/>
        <w:gridCol w:w="637"/>
        <w:gridCol w:w="60"/>
        <w:gridCol w:w="60"/>
        <w:gridCol w:w="209"/>
        <w:gridCol w:w="486"/>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3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3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3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3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decreased $46 thousand, or 76.7%, during the six months ended June 30, 2026 to $14 thousand, compared to $60 thousand for the six months ended June 30, 2025, primarily from reduced sales volumes.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decreased to 44.0% for the six months ended June 30, 2026 from 60.3% for the six months ended June 30, 2025. The decrease in gross profit was due primarily to product mix.</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Distribution Expenses</w:t>
      </w:r>
    </w:p>
    <w:tbl>
      <w:tblPr>
        <w:tblW w:w="6626" w:type="dxa"/>
        <w:jc w:val="left"/>
        <w:tblInd w:w="0" w:type="dxa"/>
        <w:tblLayout w:type="fixed"/>
        <w:tblCellMar>
          <w:top w:w="0" w:type="dxa"/>
          <w:left w:w="0" w:type="dxa"/>
          <w:bottom w:w="0" w:type="dxa"/>
          <w:right w:w="0" w:type="dxa"/>
        </w:tblCellMar>
      </w:tblPr>
      <w:tblGrid>
        <w:gridCol w:w="2570"/>
        <w:gridCol w:w="60"/>
        <w:gridCol w:w="241"/>
        <w:gridCol w:w="647"/>
        <w:gridCol w:w="115"/>
        <w:gridCol w:w="115"/>
        <w:gridCol w:w="241"/>
        <w:gridCol w:w="937"/>
        <w:gridCol w:w="60"/>
        <w:gridCol w:w="60"/>
        <w:gridCol w:w="167"/>
        <w:gridCol w:w="528"/>
        <w:gridCol w:w="80"/>
        <w:gridCol w:w="60"/>
        <w:gridCol w:w="60"/>
        <w:gridCol w:w="440"/>
        <w:gridCol w:w="24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distribution expenses decreased to $0.5 million for the six months ended June 30, 2026, from $1.1 million for the six months ended June 30, 2025. This decrease is primarily attributable to lower restructuring costs of $0.6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General and Administrative Expenses </w:t>
      </w:r>
    </w:p>
    <w:tbl>
      <w:tblPr>
        <w:tblW w:w="6906" w:type="dxa"/>
        <w:jc w:val="left"/>
        <w:tblInd w:w="0" w:type="dxa"/>
        <w:tblLayout w:type="fixed"/>
        <w:tblCellMar>
          <w:top w:w="0" w:type="dxa"/>
          <w:left w:w="0" w:type="dxa"/>
          <w:bottom w:w="0" w:type="dxa"/>
          <w:right w:w="0" w:type="dxa"/>
        </w:tblCellMar>
      </w:tblPr>
      <w:tblGrid>
        <w:gridCol w:w="2990"/>
        <w:gridCol w:w="60"/>
        <w:gridCol w:w="214"/>
        <w:gridCol w:w="832"/>
        <w:gridCol w:w="102"/>
        <w:gridCol w:w="102"/>
        <w:gridCol w:w="214"/>
        <w:gridCol w:w="832"/>
        <w:gridCol w:w="60"/>
        <w:gridCol w:w="60"/>
        <w:gridCol w:w="188"/>
        <w:gridCol w:w="507"/>
        <w:gridCol w:w="60"/>
        <w:gridCol w:w="60"/>
        <w:gridCol w:w="60"/>
        <w:gridCol w:w="380"/>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7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general and administrative expenses was primarily the result of an increase of $2.4 million in professional fees, and an increase of $0.1 million in stock-compensation expense, partially offset by a decrease in restructuring costs of $0.8 million, a decrease of $0.8 million in miscellaneous expenses, and a decrease of $0.1 million in headcount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Interest expense, net </w:t>
      </w:r>
    </w:p>
    <w:tbl>
      <w:tblPr>
        <w:tblW w:w="5481" w:type="dxa"/>
        <w:jc w:val="left"/>
        <w:tblInd w:w="0" w:type="dxa"/>
        <w:tblLayout w:type="fixed"/>
        <w:tblCellMar>
          <w:top w:w="0" w:type="dxa"/>
          <w:left w:w="0" w:type="dxa"/>
          <w:bottom w:w="0" w:type="dxa"/>
          <w:right w:w="0" w:type="dxa"/>
        </w:tblCellMar>
      </w:tblPr>
      <w:tblGrid>
        <w:gridCol w:w="1670"/>
        <w:gridCol w:w="60"/>
        <w:gridCol w:w="276"/>
        <w:gridCol w:w="740"/>
        <w:gridCol w:w="132"/>
        <w:gridCol w:w="132"/>
        <w:gridCol w:w="276"/>
        <w:gridCol w:w="740"/>
        <w:gridCol w:w="60"/>
        <w:gridCol w:w="60"/>
        <w:gridCol w:w="347"/>
        <w:gridCol w:w="348"/>
        <w:gridCol w:w="60"/>
        <w:gridCol w:w="60"/>
        <w:gridCol w:w="60"/>
        <w:gridCol w:w="275"/>
        <w:gridCol w:w="185"/>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66"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net was relatively flat for the six months ended June 30, 2026 and June 30,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fair market value of warrant liabilities</w:t>
      </w:r>
    </w:p>
    <w:tbl>
      <w:tblPr>
        <w:tblW w:w="7994" w:type="dxa"/>
        <w:jc w:val="left"/>
        <w:tblInd w:w="0" w:type="dxa"/>
        <w:tblLayout w:type="fixed"/>
        <w:tblCellMar>
          <w:top w:w="0" w:type="dxa"/>
          <w:left w:w="0" w:type="dxa"/>
          <w:bottom w:w="0" w:type="dxa"/>
          <w:right w:w="0" w:type="dxa"/>
        </w:tblCellMar>
      </w:tblPr>
      <w:tblGrid>
        <w:gridCol w:w="3950"/>
        <w:gridCol w:w="60"/>
        <w:gridCol w:w="312"/>
        <w:gridCol w:w="650"/>
        <w:gridCol w:w="150"/>
        <w:gridCol w:w="150"/>
        <w:gridCol w:w="312"/>
        <w:gridCol w:w="725"/>
        <w:gridCol w:w="80"/>
        <w:gridCol w:w="60"/>
        <w:gridCol w:w="244"/>
        <w:gridCol w:w="451"/>
        <w:gridCol w:w="60"/>
        <w:gridCol w:w="60"/>
        <w:gridCol w:w="60"/>
        <w:gridCol w:w="485"/>
        <w:gridCol w:w="18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99"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market value of warrant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2026 and 2025 activity is related to the change in fair market value of the warrant liabilities from the common stock warrants from our March 2022 equity raise of capital. The change in fair value of warrant liabilities during the six months ending June 30, 2026 primarily relates to the reduced share price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Gain on extinguishment of debt</w:t>
      </w:r>
    </w:p>
    <w:tbl>
      <w:tblPr>
        <w:tblW w:w="6504" w:type="dxa"/>
        <w:jc w:val="left"/>
        <w:tblInd w:w="0" w:type="dxa"/>
        <w:tblLayout w:type="fixed"/>
        <w:tblCellMar>
          <w:top w:w="0" w:type="dxa"/>
          <w:left w:w="0" w:type="dxa"/>
          <w:bottom w:w="0" w:type="dxa"/>
          <w:right w:w="0" w:type="dxa"/>
        </w:tblCellMar>
      </w:tblPr>
      <w:tblGrid>
        <w:gridCol w:w="2615"/>
        <w:gridCol w:w="60"/>
        <w:gridCol w:w="275"/>
        <w:gridCol w:w="869"/>
        <w:gridCol w:w="176"/>
        <w:gridCol w:w="132"/>
        <w:gridCol w:w="275"/>
        <w:gridCol w:w="572"/>
        <w:gridCol w:w="60"/>
        <w:gridCol w:w="60"/>
        <w:gridCol w:w="188"/>
        <w:gridCol w:w="507"/>
        <w:gridCol w:w="60"/>
        <w:gridCol w:w="60"/>
        <w:gridCol w:w="60"/>
        <w:gridCol w:w="335"/>
        <w:gridCol w:w="20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00" w:type="dxa"/>
            <w:tcBorders/>
            <w:shd w:fill="FFFF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76"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00" w:type="dxa"/>
            <w:tcBorders/>
            <w:shd w:fill="FFFF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29"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0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extinguishment of debt</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1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the Company settled its seller note payable and recognized a gain on extinguishment of debt of approximately $0.3 million.</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Discontinued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2026 and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components of our results of discontinued operations:</w:t>
      </w:r>
    </w:p>
    <w:p>
      <w:pPr>
        <w:pStyle w:val="TextBody"/>
        <w:bidi w:val="0"/>
        <w:spacing w:before="0" w:after="0"/>
        <w:ind w:left="0" w:right="0" w:hanging="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5195"/>
        <w:gridCol w:w="60"/>
        <w:gridCol w:w="202"/>
        <w:gridCol w:w="954"/>
        <w:gridCol w:w="129"/>
        <w:gridCol w:w="97"/>
        <w:gridCol w:w="202"/>
        <w:gridCol w:w="954"/>
        <w:gridCol w:w="80"/>
        <w:gridCol w:w="60"/>
        <w:gridCol w:w="129"/>
        <w:gridCol w:w="566"/>
        <w:gridCol w:w="80"/>
        <w:gridCol w:w="60"/>
        <w:gridCol w:w="60"/>
        <w:gridCol w:w="485"/>
        <w:gridCol w:w="245"/>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w:t>
            </w:r>
          </w:p>
        </w:tc>
        <w:tc>
          <w:tcPr>
            <w:tcW w:w="245"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8"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13,297</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10,281</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distribution(1)</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6,706</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6,779</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3,502</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477.8</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discontinued operations before income taxes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3,478</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discontinued operations, net of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3,471</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417.0</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During the three months ended June 30, 2026 and 2025, $0.1 million and $0.1 million of stock-based compensation were included within Income (loss) from discontinued operations on the Condensed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 decreased $6.1 million, or 31.4%, during the three months ended June 30, 2026 to $13.3 million, compared to $19.4 million for the three months ended June 30, 2025. The decrease in net revenue was primarily attributable to the macroeconomic environment resulting in reduced consumer demand.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 and Gross Profit</w:t>
      </w:r>
    </w:p>
    <w:tbl>
      <w:tblPr>
        <w:tblW w:w="5831" w:type="dxa"/>
        <w:jc w:val="left"/>
        <w:tblInd w:w="0" w:type="dxa"/>
        <w:tblLayout w:type="fixed"/>
        <w:tblCellMar>
          <w:top w:w="0" w:type="dxa"/>
          <w:left w:w="0" w:type="dxa"/>
          <w:bottom w:w="0" w:type="dxa"/>
          <w:right w:w="0" w:type="dxa"/>
        </w:tblCellMar>
      </w:tblPr>
      <w:tblGrid>
        <w:gridCol w:w="1535"/>
        <w:gridCol w:w="60"/>
        <w:gridCol w:w="204"/>
        <w:gridCol w:w="966"/>
        <w:gridCol w:w="98"/>
        <w:gridCol w:w="98"/>
        <w:gridCol w:w="204"/>
        <w:gridCol w:w="966"/>
        <w:gridCol w:w="60"/>
        <w:gridCol w:w="60"/>
        <w:gridCol w:w="129"/>
        <w:gridCol w:w="566"/>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9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10,281</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decreased $5.8 million, or 65.9%, during the three months ended June 30, 2026 to $3.0 million, compared to $8.8 million for the three months ended June 30, 2025, primarily from reduced sales volumes and tariff refunds of $2.3 million that were received during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increased to 77.3% for the three months ended June 30, 2026 from 54.3% for the three months ended June 30, 2025. The increase in gross profit was due primarily to product mix and tariff refunds of $2.3 million that were received during the three months ended June 30,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Distribution Expenses</w:t>
      </w:r>
    </w:p>
    <w:tbl>
      <w:tblPr>
        <w:tblW w:w="6867" w:type="dxa"/>
        <w:jc w:val="left"/>
        <w:tblInd w:w="0" w:type="dxa"/>
        <w:tblLayout w:type="fixed"/>
        <w:tblCellMar>
          <w:top w:w="0" w:type="dxa"/>
          <w:left w:w="0" w:type="dxa"/>
          <w:bottom w:w="0" w:type="dxa"/>
          <w:right w:w="0" w:type="dxa"/>
        </w:tblCellMar>
      </w:tblPr>
      <w:tblGrid>
        <w:gridCol w:w="2570"/>
        <w:gridCol w:w="60"/>
        <w:gridCol w:w="219"/>
        <w:gridCol w:w="852"/>
        <w:gridCol w:w="105"/>
        <w:gridCol w:w="105"/>
        <w:gridCol w:w="219"/>
        <w:gridCol w:w="1037"/>
        <w:gridCol w:w="60"/>
        <w:gridCol w:w="60"/>
        <w:gridCol w:w="129"/>
        <w:gridCol w:w="566"/>
        <w:gridCol w:w="80"/>
        <w:gridCol w:w="60"/>
        <w:gridCol w:w="60"/>
        <w:gridCol w:w="440"/>
        <w:gridCol w:w="24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2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9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6,706</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distribution expenses, which included e-commerce platform commissions, online advertising and logistics expenses (i.e., variable sales and distribution expense), decreased to $6.7 million for the three months ended June 30, 2026, from $11.3 million for the three months ended June 30, 2025. This decrease is primarily attributable to the decrease in the volume of products sold in the three months ended June 30, 2026, as our e-commerce platform commissions, online advertising, selling and logistics expenses decreased to $5.5 million in the three months ended June 30, 2026 as compared to $9.0 million in the prior year period.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sales and distribution fixed costs (e.g., salary and office expenses) including stock-based compensation decreased to $1.2 million for the three months ended June 30, 2026, from $2.3 million for the three months ended June 30, 2025. This decrease is primarily attributable to lower miscellaneous expenses of $0.6 million, lower headcount expense of $0.5 million, and lower stock-compensation expense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percentage of net revenue, sales and distribution expenses decreased to 50.4% for the three months ended June 30, 2026, from 58.4% for the three months ended June 30, 2025. E-commerce platform commissions, online advertising, selling and logistics expenses included within sales and distribution expenses, as a percentage of net revenue, decreased to 41.7% for the three months ended June 30, 2026, from 46.7% for the three months ended 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General and Administrative Expenses </w:t>
      </w:r>
    </w:p>
    <w:tbl>
      <w:tblPr>
        <w:tblW w:w="7286" w:type="dxa"/>
        <w:jc w:val="left"/>
        <w:tblInd w:w="0" w:type="dxa"/>
        <w:tblLayout w:type="fixed"/>
        <w:tblCellMar>
          <w:top w:w="0" w:type="dxa"/>
          <w:left w:w="0" w:type="dxa"/>
          <w:bottom w:w="0" w:type="dxa"/>
          <w:right w:w="0" w:type="dxa"/>
        </w:tblCellMar>
      </w:tblPr>
      <w:tblGrid>
        <w:gridCol w:w="2990"/>
        <w:gridCol w:w="60"/>
        <w:gridCol w:w="339"/>
        <w:gridCol w:w="624"/>
        <w:gridCol w:w="162"/>
        <w:gridCol w:w="162"/>
        <w:gridCol w:w="339"/>
        <w:gridCol w:w="910"/>
        <w:gridCol w:w="60"/>
        <w:gridCol w:w="60"/>
        <w:gridCol w:w="209"/>
        <w:gridCol w:w="486"/>
        <w:gridCol w:w="80"/>
        <w:gridCol w:w="60"/>
        <w:gridCol w:w="60"/>
        <w:gridCol w:w="440"/>
        <w:gridCol w:w="24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91" w:type="dxa"/>
            <w:gridSpan w:val="14"/>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general and administrative expenses was primarily the result of a decrease of $57 thousand in logistics software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components of our results of discontinued operations:</w:t>
      </w:r>
    </w:p>
    <w:p>
      <w:pPr>
        <w:pStyle w:val="TextBody"/>
        <w:bidi w:val="0"/>
        <w:spacing w:before="0" w:after="0"/>
        <w:ind w:left="0" w:right="0" w:hanging="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5195"/>
        <w:gridCol w:w="60"/>
        <w:gridCol w:w="183"/>
        <w:gridCol w:w="864"/>
        <w:gridCol w:w="117"/>
        <w:gridCol w:w="87"/>
        <w:gridCol w:w="183"/>
        <w:gridCol w:w="864"/>
        <w:gridCol w:w="80"/>
        <w:gridCol w:w="60"/>
        <w:gridCol w:w="129"/>
        <w:gridCol w:w="566"/>
        <w:gridCol w:w="80"/>
        <w:gridCol w:w="60"/>
        <w:gridCol w:w="60"/>
        <w:gridCol w:w="485"/>
        <w:gridCol w:w="245"/>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w:t>
            </w:r>
          </w:p>
        </w:tc>
        <w:tc>
          <w:tcPr>
            <w:tcW w:w="245"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18"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25,711</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7,450</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18,261</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distribution(1)</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13,892</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3,427</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17,457</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w:t>
            </w:r>
          </w:p>
        </w:tc>
        <w:tc>
          <w:tcPr>
            <w:tcW w:w="24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discontinued operations before income taxes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w:t>
            </w:r>
          </w:p>
        </w:tc>
        <w:tc>
          <w:tcPr>
            <w:tcW w:w="24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24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discontinued operations, net of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p>
        </w:tc>
        <w:tc>
          <w:tcPr>
            <w:tcW w:w="24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During the six months ended June 30, 2026 and 2025, $0.1 million and $0.3 million of stock-based compensation were included within Income (loss) from discontinued operations on the Condensed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 decreased $9 million, or 25.8%, during the six months ended June 30, 2026 to $25.7 million, compared to $34.7 million for the six months ended June 30, 2025. The decrease in net revenue was primarily attributable to the macroeconomic environment resulting in reduced consumer demand.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 and Gross Profit</w:t>
      </w:r>
    </w:p>
    <w:tbl>
      <w:tblPr>
        <w:tblW w:w="5593" w:type="dxa"/>
        <w:jc w:val="left"/>
        <w:tblInd w:w="0" w:type="dxa"/>
        <w:tblLayout w:type="fixed"/>
        <w:tblCellMar>
          <w:top w:w="0" w:type="dxa"/>
          <w:left w:w="0" w:type="dxa"/>
          <w:bottom w:w="0" w:type="dxa"/>
          <w:right w:w="0" w:type="dxa"/>
        </w:tblCellMar>
      </w:tblPr>
      <w:tblGrid>
        <w:gridCol w:w="1535"/>
        <w:gridCol w:w="60"/>
        <w:gridCol w:w="185"/>
        <w:gridCol w:w="875"/>
        <w:gridCol w:w="89"/>
        <w:gridCol w:w="89"/>
        <w:gridCol w:w="185"/>
        <w:gridCol w:w="875"/>
        <w:gridCol w:w="60"/>
        <w:gridCol w:w="60"/>
        <w:gridCol w:w="129"/>
        <w:gridCol w:w="566"/>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decreased $7.3 million, or 49.6%, during the six months ended June 30, 2026 to $7.5 million, compared to $14.8 million for the six months ended June 30, 2025, primarily from reduced sales volumes and tariff refunds of $2.3 million that were received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increased to 71.0% for the six months ended June 30, 2026 from 57.4% for the six months ended June 30, 2025. The increase in gross profit was due primarily to product mix and tariff refunds of $2.3 million that were received during the six months ended June 30,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Distribution Expenses</w:t>
      </w:r>
    </w:p>
    <w:tbl>
      <w:tblPr>
        <w:tblW w:w="6628" w:type="dxa"/>
        <w:jc w:val="left"/>
        <w:tblInd w:w="0" w:type="dxa"/>
        <w:tblLayout w:type="fixed"/>
        <w:tblCellMar>
          <w:top w:w="0" w:type="dxa"/>
          <w:left w:w="0" w:type="dxa"/>
          <w:bottom w:w="0" w:type="dxa"/>
          <w:right w:w="0" w:type="dxa"/>
        </w:tblCellMar>
      </w:tblPr>
      <w:tblGrid>
        <w:gridCol w:w="2570"/>
        <w:gridCol w:w="60"/>
        <w:gridCol w:w="185"/>
        <w:gridCol w:w="875"/>
        <w:gridCol w:w="89"/>
        <w:gridCol w:w="89"/>
        <w:gridCol w:w="185"/>
        <w:gridCol w:w="875"/>
        <w:gridCol w:w="60"/>
        <w:gridCol w:w="60"/>
        <w:gridCol w:w="129"/>
        <w:gridCol w:w="566"/>
        <w:gridCol w:w="80"/>
        <w:gridCol w:w="60"/>
        <w:gridCol w:w="60"/>
        <w:gridCol w:w="440"/>
        <w:gridCol w:w="24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distribution expenses, which included e-commerce platform commissions, online advertising and logistics expenses (i.e., variable sales and distribution expense), decreased to $13.9 million for the six months ended June 30, 2026, from $20.9 million for the six months ended June 30, 2025. This decrease is primarily attributable to the decrease in the volume of products sold in the six months ended June 30, 2026, as our e-commerce platform commissions, online advertising, selling and logistics expenses decreased to $11.5 million in the six months ended June 30, 2026 as compared to $16.3 million in the prior year period.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sales and distribution fixed costs (e.g., salary and office expenses) including stock-based compensation decreased to $2.4 million for the six months ended June 30, 2026, from $4.6 million for the six months ended June 30, 2025. This decrease is primarily attributable to lower headcount expense of $1.1 million, lower miscellaneous expenses of $0.8 million, lower stock-compensation expense of $0.2 million, and lower expenses related to the Amazon Seller program of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percentage of net revenue, sales and distribution expenses decreased to 54.0% for the six months ended June 30, 2026, from 60.4% for the six months ended June 30, 2025. E-commerce platform commissions, online advertising, selling and logistics expenses included within sales and distribution expenses, as a percentage of net revenue, increased to 44.7% for the six months ended June 30, 2026, from 47.0% for the six months ended 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General and Administrative Expenses </w:t>
      </w:r>
    </w:p>
    <w:tbl>
      <w:tblPr>
        <w:tblW w:w="7046" w:type="dxa"/>
        <w:jc w:val="left"/>
        <w:tblInd w:w="0" w:type="dxa"/>
        <w:tblLayout w:type="fixed"/>
        <w:tblCellMar>
          <w:top w:w="0" w:type="dxa"/>
          <w:left w:w="0" w:type="dxa"/>
          <w:bottom w:w="0" w:type="dxa"/>
          <w:right w:w="0" w:type="dxa"/>
        </w:tblCellMar>
      </w:tblPr>
      <w:tblGrid>
        <w:gridCol w:w="2990"/>
        <w:gridCol w:w="60"/>
        <w:gridCol w:w="276"/>
        <w:gridCol w:w="740"/>
        <w:gridCol w:w="132"/>
        <w:gridCol w:w="132"/>
        <w:gridCol w:w="276"/>
        <w:gridCol w:w="740"/>
        <w:gridCol w:w="60"/>
        <w:gridCol w:w="60"/>
        <w:gridCol w:w="209"/>
        <w:gridCol w:w="486"/>
        <w:gridCol w:w="80"/>
        <w:gridCol w:w="60"/>
        <w:gridCol w:w="60"/>
        <w:gridCol w:w="440"/>
        <w:gridCol w:w="24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5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general and administrative expenses was primarily the result of a decrease of $0.1 million in logistics software expenses.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Impairment loss on intangibles</w:t>
      </w:r>
    </w:p>
    <w:tbl>
      <w:tblPr>
        <w:tblW w:w="6426" w:type="dxa"/>
        <w:jc w:val="left"/>
        <w:tblInd w:w="0" w:type="dxa"/>
        <w:tblLayout w:type="fixed"/>
        <w:tblCellMar>
          <w:top w:w="0" w:type="dxa"/>
          <w:left w:w="0" w:type="dxa"/>
          <w:bottom w:w="0" w:type="dxa"/>
          <w:right w:w="0" w:type="dxa"/>
        </w:tblCellMar>
      </w:tblPr>
      <w:tblGrid>
        <w:gridCol w:w="2540"/>
        <w:gridCol w:w="60"/>
        <w:gridCol w:w="257"/>
        <w:gridCol w:w="1000"/>
        <w:gridCol w:w="123"/>
        <w:gridCol w:w="123"/>
        <w:gridCol w:w="257"/>
        <w:gridCol w:w="536"/>
        <w:gridCol w:w="60"/>
        <w:gridCol w:w="60"/>
        <w:gridCol w:w="142"/>
        <w:gridCol w:w="553"/>
        <w:gridCol w:w="60"/>
        <w:gridCol w:w="60"/>
        <w:gridCol w:w="60"/>
        <w:gridCol w:w="335"/>
        <w:gridCol w:w="20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0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ind w:left="0" w:right="0" w:hanging="0"/>
              <w:jc w:val="left"/>
              <w:rPr/>
            </w:pPr>
            <w:r>
              <w:rPr/>
              <w:t> </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0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26" w:type="dxa"/>
            <w:gridSpan w:val="14"/>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0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the Company completed the sale of substantially all of its assets to Trademark Global, pursuant to the Asset Purchase Agreement, dated as of April 27, 2026 (the “Asset Purchase Agreement” and together with the Securities Purchase Agreement, the “Aterian Transactions”). Pursuant to the Asset Purchase Agreement, Trademark Global acquired certain specified assets and liabilities of the Company, including, among other things, assets associated with the Company’s marquee consumer brands: Mueller Living, PurSteam, hOmeLabs, Squatty Potty, Healing Solutions, and Photo Paper Direct for $18.0 million in cash, subject to certain purchase price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definitive deal terms, specifically the $18.0 million base purchase price and the estimated purchase price adjustments, the Company evaluated the carrying value of its brand intangible assets. As of June 30, 2026, management evaluated the carrying value of these brand intangible assets based on the finalized deal terms and expected net proceeds, and determined that no impairment was required for the three months ended June 30, 2026. Previously, the Company determined that the estimated allocated proceeds from the Asset Purchase Agreement were lower than the carrying values for certain definite-lived brand assets, and accordingly recorded a non-cash impairment charge of $3.4 million during the first quarter of 2026. This charge was recorded within Income (loss) from discontinued operations on the Condensed Consolidated Statement of Operations.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regarding our cash flows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6672" w:type="dxa"/>
        <w:jc w:val="left"/>
        <w:tblInd w:w="0" w:type="dxa"/>
        <w:tblLayout w:type="fixed"/>
        <w:tblCellMar>
          <w:top w:w="0" w:type="dxa"/>
          <w:left w:w="0" w:type="dxa"/>
          <w:bottom w:w="0" w:type="dxa"/>
          <w:right w:w="0" w:type="dxa"/>
        </w:tblCellMar>
      </w:tblPr>
      <w:tblGrid>
        <w:gridCol w:w="4235"/>
        <w:gridCol w:w="60"/>
        <w:gridCol w:w="194"/>
        <w:gridCol w:w="846"/>
        <w:gridCol w:w="124"/>
        <w:gridCol w:w="93"/>
        <w:gridCol w:w="194"/>
        <w:gridCol w:w="846"/>
        <w:gridCol w:w="80"/>
      </w:tblGrid>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2025(1)</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(2,325</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8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on cash</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restricted cash for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(2,320</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amounts from discontinued operations, please see Note 3, </w:t>
            </w:r>
            <w:r>
              <w:rPr>
                <w:rFonts w:ascii="Times New Roman;Times;serif" w:hAnsi="Times New Roman;Times;serif"/>
                <w:i/>
                <w:sz w:val="20"/>
              </w:rPr>
              <w:t>Held for Sale Classification and Discontinued Operations Presentation</w:t>
            </w:r>
            <w:r>
              <w:rPr>
                <w:rFonts w:ascii="Times New Roman;Times;serif" w:hAnsi="Times New Roman;Times;serif"/>
                <w:sz w:val="20"/>
              </w:rPr>
              <w:t> for additional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Net Cash Provided by (Used in) Operating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was $0.1 million for the six months ended June 30, 2026, primarily driven by net cash losses from operations of $2.1 million and a $2.2 million inflow from changes in working capital, mainly related to changes in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$8.3 million for the six months ended June 30, 2025, resulting primarily from our net cash losses from operations of $6.7 million, outflow from working capital of $1.6 million from changes in accounts receivable, purchases of inventory and payments of accounts payable. The working capital outflow primarily relates to purchases of our air quality products for the summer season and intentional build up of certain products to avoid higher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Net Cash Used in Investing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net cash used in investing activities was $18 thousand, primarily related to the purchase of fixed assets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net cash used in investing activities was $6 thousand, primarily related to the purchase of laptops during the six months ended June 30, 2025.</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Net Cash (Used in) Provided by Financing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net cash used in financing activities of $2.3 million primarily from the net repayments for our MidCap credit facility of $5.0 million and payment of insurance obligations of $0.5 million, partially offset by $3.2 million in proceeds from the issuance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net cash provided by financing activities of $0.4 million was primarily from the net borrowings for our MidCap credit facility of $0.2, and net proceeds from insurance financing of $0.3 million, partially offset by repayment of note payable to Smash of $0.1 million.</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Accounting Standards Codification 205-40, Presentation of Financial Statements - Going Concern, management evaluated whether there are conditions and events that raise substantial doubt about the Company’s ability to continue as a going concern within one year after the date these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inception, the Company has incurred significant losses and used cash flows from operations to fund its enterprise. To preserve liquidity, management implemented fixed cost reduction plans in May 2025 and January 2026. However, these actions were insufficient to fully offset macroeconomic pressures, such as tariffs, geopolitical instabilities, rising costs for raw materials and shipping, higher marketplace fees, and reduced consumer spending, which continued to negatively impact operating results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27, 2026, the Company entered into a series of definitive agreements (the "Aterian Transactions"), to restructure its operations and capital position. These agreements included the Asset Purchase Agreement with Trademark Global to sell marquee brands, including Mueller Living, PurSteam, hOmeLabs, Squatty Potty, Healing Solutions, and Photo Paper Direct, for $18.0 million in cash, subject to purchase price adjustments, and the Securities Purchase Agreement with Lazar for the issuance of Series AA Preferred Stock and Series AAA Preferred Stock for aggregate gross proceeds of $7.0 million. As of June 30, 2026, the Company received gross proceeds of $3.5 million from the issuance of the Series AA Preferred Stock, which were offset by approximately $0.3 million of transaction costs recorded as a reduction to additional paid-in capital, resulting in net proceeds of approximately $3.2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25, 2026, in connection with the Asset Sale to Trademark Global, LLC and the Securities Purchase Agreement with David E. Lazar, the Board of Directors of the Company conditionally declared a dividend in the form of contingent value rights. The contingent value rights were declared to record holders as of the close of business on July 8, 2026, comprising holders of the Company’s common stock, par value $0.0001 per share, and holders of certain unexercised participating warrants to purchase common stock. Each eligible holder is entitled to receive one contingent value right for each share of common stock held or issuable upon exercise of participating warrants as of the record date. Shares of Series AA and Series AAA Convertible Non-Redeemable Preferred Stock are expressly excluded from participating in the distribution. Because the payment of the dividend remained subject to unfulfilled conditions precedent, including stockholder approval and the closing of the transactions, and remained subject to revocation by the Board as of June 30, 2026, no liability or reduction of equity was recognized in the condensed consolidated financial statements for the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following the receipt of stockholder approval at a special meeting of stockholders, the Company completed both the Asset Sale to Trademark Global, LLC and the Stock Sale to Lazar. Upon the closing of the Stock Sale, Lazar became the beneficial owner of approximately 95.8% of the Company's issued and outstanding voting securities, constituting a change in control, and was appointed as Chief Executive Officer. Concurrently, all outstanding indebtedness under the Credit and Security Agreement with MidCap Funding IV Trust was repaid in full, all commitments thereunder were terminated, and all associated guarantees and liens were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17, 2026, following approval by the Company's stockholders at a special meeting, the Company completed the Asset Sale to Trademark Global for $18.0 million in cash, subject to purchase price adjustments, and completed the issuance and sale of 1,750,000 shares of Series AAA Convertible Non-Redeemable Preferred Stock to Lazar for aggregate proceeds of $3.5 million. In connection with the closing of these transactions, the Company entered into a Contingent Value Rights Agreement with Broadridge Corporate Issuer Solutions, LLC, as Rights Agent, on July 17, 2026. Each contingent value right represents a non-transferable contractual right to receive pro rata cash distributions derived from specified future proceeds, including net proceeds from the Asset Sale after satisfaction of certain indebtedness and transaction costs, setting aside $1.0 million for ongoing operational expenses, and establishing up to $6.0 million in reserves for specified liabilities. Additional potential proceeds include any remaining amounts from the specified liability reserves upon full satisfaction of such liabilities, net proceeds from future sales of remaining legacy assets and inventory not acquired by Trademark Global, and net proceeds from tax or tariff refunds, drawbacks, customs claims, or released restricted cash and escrow amounts held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established August 17, 2026 as the distribution date of the contingent value rights to record holders. Upon the closing of the transactions on July 17, 2026, the condition precedent was satisfied. Consequently, the contingent value right obligation will be measured at fair value as of the effective date in the third quarter of 2026 and recognized as a distribution from equity, within retained earnings or additional paid-in capital, with a corresponding contingent value right liability or equity instrument as evaluated under ASC 480 and ASC 815. The contingent value rights represent contractual payment rights only, do not carry voting or dividend rights, accrue no interest, and do not represent equity ownership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consummation of the Aterian Transactions, the Company will continue to operate its remaining legacy brands, primarily Vremi and Xtava. Management intends to utilize remaining net proceeds to support working capital for these ongoing 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the completion of the Aterian Transactions eliminated senior debt obligations and provided immediate capital, the Company's retained legacy business operations remain limited in scale. The ongoing macroeconomic challenges, potential operational cash burn associated with scaling the remaining brands, and execution risks regarding the streamlined growth strategy continue to create uncertainty regarding future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these factors, management concluded that these conditions continue to raise substantial doubt about the Company’s ability to continue as a going concern within one year after the date these Condensed Consolidated Financial Statements are issued. Management’s ongoing plans include driving operational efficiencies across the retained business, optimizing supply chain expenditures, and evaluating additional strategic alternatives. The accompanying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Nasdaq Listing—</w:t>
      </w:r>
      <w:r>
        <w:rPr>
          <w:rFonts w:ascii="Times New Roman" w:hAnsi="Times New Roman"/>
          <w:caps w:val="false"/>
          <w:smallCaps w:val="false"/>
          <w:sz w:val="20"/>
        </w:rPr>
        <w:t>On December 9, 2025, the Company received a letter from the Listing Qualifications Staff of The Nasdaq Stock Market LLC (“Nasdaq”) indicating that, based upon the closing bid price of the Company’s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19, 2026, Nasdaq notified the Company in the Compliance Notice that from May 1, 2026 to May 18, 2026 the closing bid price of the Company’s common stock had been $1.00 per share or greater and, accordingly, the Company had regained compliance with Nasdaq Listing Rule 5550(a)(2) and that the matter was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MidCap Credit Facility</w:t>
      </w:r>
      <w:r>
        <w:rPr>
          <w:rFonts w:ascii="Times New Roman" w:hAnsi="Times New Roman"/>
          <w:caps w:val="false"/>
          <w:smallCaps w:val="false"/>
          <w:sz w:val="20"/>
        </w:rPr>
        <w:t>—On December 22, 2021, we entered into a Credit Facility with MidCap, pursuant to which, among other 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16,667 shares of our common stock, in exchange for the Lenders extending loans and other extensions of credit to us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Prior to the February 2024 amendment, the Credit Facility contained a financial covenant that required us to maintain a minimum unrestricted cash balance of (a) $12.5 million during the period from February 1st through and including May 31st of each calendar year, and (b) $15.0 million at all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At our election, we may elect to comply with an alternative financial covenant that would require us to maintain a minimum borrowing availability under the credit facility of $5.0 million at all times. We currently do not anticipate electing the alternative financial covenant over the next twelve months and are in compliance with the minimum liquidity covenant as of the date these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2025 (the “Third Amendment Effective Date”) the Company entered into Amendment No. 3 (the “3rd Amendment”) to the Credit Agreement. Material changes contained in the 3rd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 On August 29, 2025 (the “Fourth Amendment Effective Date”) the Company entered into Amendment No. 4 to the Credit Agreement. Material changes contained in Amendment No. 4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there was no outstanding principal balance under the Existing Credit Agreement. As of June 30, 2026, the Company had an overpayment balance of $0.4 million due from the lender, as well as unamortized deferred financing costs of $0.1 million, both of which are included within Prepaid Expenses and Other Current Assets on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in connection with the closing of the Asset Sale and the Preferred Stock Sale, all outstanding indebtedness under the Existing Credit Agreement was repaid in full and all commitments thereunder were terminated. Additionally, all guarantees and liens securing the indebtedness under the Existing Credit Agreement were fully discharged and released.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Seller Notes—</w:t>
      </w:r>
      <w:r>
        <w:rPr>
          <w:rFonts w:ascii="Times New Roman" w:hAnsi="Times New Roman"/>
          <w:caps w:val="false"/>
          <w:smallCaps w:val="false"/>
          <w:sz w:val="20"/>
        </w:rPr>
        <w:t>During the three months ended June 30, 2026, the Company fully settled its outstanding Seller Notes in exchange for a cash payment of $0.1 million, resulting in a gain on extinguishment of debt of $0.3 million in the Condensed Consolidated Statements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Share Repurchase—</w:t>
      </w:r>
      <w:r>
        <w:rPr>
          <w:rFonts w:ascii="Times New Roman" w:hAnsi="Times New Roman"/>
          <w:caps w:val="false"/>
          <w:smallCaps w:val="false"/>
          <w:sz w:val="20"/>
        </w:rPr>
        <w:t>On March 14, 2025, the Board of Directors authorized a share repurchase program to acquire up to $3.0 million of the Company’s common stock. The Company may purchase common stock on the open market, through privately negotiated transactions, or by other means including through the use of trading plans intended to qualify under Rule 10b-18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and other considerations. The share repurchase program will have a term of 24 months and may be suspended or discontinued at any time and does not obligate the company to acquire any amount of common stock. The objective of this program is to repurchase shares of common stock opportunistically when management believes that the Company’s stock is trading below the Company’s determination of long-term fair value. As of May 2, 2025, the Company had temporarily suspended its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Trade Policy—</w:t>
      </w:r>
      <w:r>
        <w:rPr>
          <w:rFonts w:ascii="Times New Roman" w:hAnsi="Times New Roman"/>
          <w:caps w:val="false"/>
          <w:smallCaps w:val="false"/>
          <w:sz w:val="20"/>
        </w:rPr>
        <w:t>During 2025, the U.S. government announced a series of new tariff policies affecting imports from several countries, including China. While these actions impact a range of global trade flows, the new tariffs targeting imports from China are the most significant for our business. As a result of these tariffs, we experienced an increase in our cost of goods sold during the quarter ended March 31, 2026. In response, we implemented targeted price increases across affected product categories to partially offset the higher input costs. These pricing actions, however, contributed to a decline in unit volumes as consumer demand responded to the higher retail prices. We have implemented a range of mitigation strategies to address the impact of these tariffs on our supply chain and margins. These efforts include diversifying sourcing outside of China, renegotiating supplier terms, redesigning certain products to reduce tariff exposure, and implementing selective price increases where appropriate. We have implemented a range of mitigation strategies to address the impact of these tariffs on our supply chain and margins. These efforts include diversifying sourcing outside of China, renegotiating supplier terms, redesigning certain products to reduce tariff exposure, and implementing selective price increases where appropriate.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following stockholder approval, the Company completed the sale of specified assets and liabilities associated with its marquee consumer brands including Mueller Living, PurSteam, hOmeLabs, Squatty Potty, Healing Solutions, and Photo Paper Direct to Trademark Global, LLC ("Trademark Global") for $18.0 million in cash, subject to customary post-closing adjustments. As these brands represented the substantial majority of our historical consolidated operations, their results are now classified as discontinued operations for all periods presented.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Consequently, management believes that historical Non-GAAP financial measures previously disclosed, including Adjusted EBITDA and Contribution Margin, no longer provide a meaningful basis for evaluating the Company’s ongoing performance or future prospects. Our remaining continuing operations consist primarily of smaller legacy brands, such as Vremi and Xtava, and residual corporate activities. Given this fundamental shift in our business profile and the ongoing transition of our leadership and capital structure, we have elected to omit the presentation of these Non-GAAP measures for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intend to re-evaluate our performance metrics as our remaining operations evolve and will provide updated disclosures if management determines that such measures provide useful information to investors.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in our Form 10-K for the fiscal year ended December 31, 2025, the discussion and analysis of our financial condition and results of operations are based upon our consolidated financial statements, which have been prepared in conformity with generally accepted accounting principles in the United States of America (“US GAAP”). The preparation of these consolidated financial statements requires us to make estimates and assumptions that affect the amounts of assets, liabilities, revenues and expenses reported in those consolidated financial statements. These judgments can be subjective and complex, and consequently, actual results could differ from those estimates. Our most critical accounting policies and estimates relate to revenue recognition; leases; impairment of intangible assets; impairment of long-lived assets; and income taxes (including uncertain tax positions). There have been no significant changes to the Company’s accounting policies subsequent to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Intangible asset valuation</w:t>
      </w:r>
      <w:r>
        <w:rPr>
          <w:rFonts w:ascii="Times New Roman" w:hAnsi="Times New Roman"/>
          <w:caps w:val="false"/>
          <w:smallCaps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the Company completed the sale of substantially all of its assets to Trademark Global, pursuant to the Asset Purchase Agreement, dated as of April 27, 2026. Pursuant to the Asset Purchase Agreement, Trademark Global acquired certain specified assets and liabilities of the Company, including, among other things, assets associated with the Company’s marquee consumer brands: Mueller Living, PurSteam, hOmeLabs, Squatty Potty, Healing Solutions, and Photo Paper Direct for $18.0 million in cash, subject to certain purchase price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definitive deal terms, specifically the $18.0 million base purchase price and the estimated purchase price adjustments, the Company evaluated the carrying value of its brand intangible assets. As of June 30, 2026, management evaluated the carrying value of these brand intangible assets based on the finalized deal terms and expected net proceeds, and determined that no impairment was required for the three months ended June 30, 2026. Previously, the Company determined that the estimated allocated proceeds from the Asset Purchase Agreement were lower than the carrying values for certain definite-lived brand assets, and accordingly recorded a non-cash impairment charge of $3.4 million during the first quarter of 2026. This charge was recorded within Income (loss) from discontinued operations on the Condensed Consolidated Statement of Operations.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2" w:name="qqd"/>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3" w:name="controls"/>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evaluation of our disclosure controls and procedures as of June 30, 2026, our Chief Executive Officer and Chief Financial Officer concluded that our disclosure controls and procedures were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that occurred during the six months ended June 30, 2026, that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4" w:name="part2"/>
      <w:bookmarkEnd w:id="14"/>
      <w:r>
        <w:rPr>
          <w:rFonts w:ascii="Times New Roman" w:hAnsi="Times New Roman"/>
          <w:b/>
          <w:caps w:val="false"/>
          <w:smallCaps w:val="false"/>
          <w:sz w:val="20"/>
        </w:rPr>
        <w:t>PART II</w:t>
      </w:r>
      <w:r>
        <w:rPr>
          <w:rFonts w:ascii="Times New Roman" w:hAnsi="Times New Roman"/>
          <w:caps w:val="false"/>
          <w:smallCaps w:val="false"/>
          <w:sz w:val="20"/>
        </w:rPr>
        <w:t>—</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may be involved in various claims and legal proceedings relating to claims arising out of our operations, primarily with respect to the sale of our consumer products. We believe that there are no pending lawsuits or claims that, individually or in the aggregate, may have a material effect on our business, financial condition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risk"/>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Except as presented below, there have been no material changes from the risk factors associated with our business previously disclosed in our Annual Report.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completion of the Preferred Stock Sale resulted in a change in control, and a single controlling stockholder now exercises overwhelming control over corporate strategy and stockholder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we completed the second closing under the Securities Purchase Agreement with David E. Lazar, resulting in the issuance of Series AAA Preferred Stock and a fundamental change in control of the Company. Upon full conversion of the Series AA and Series AAA Preferred Stock, Mr. Lazar controls approximately 95% of our fully diluted share capitalization. As a result, existing common stockholders have experienced immediate, severe dilution of their equity interests and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extreme concentration of ownership gives Mr. Lazar majority voting control and effective decision-making authority over our corporate strategy, business affairs, and all matters requiring stockholder approval. This includes the power to elect directors, approve major strategic transactions, amend our certificate of incorporation and bylaws, and authorize future equity or debt issuances. The interests of Mr. Lazar may differ substantially from the interests of our other stockholders. Additionally, his ability to control the Company may have the effect of delaying, deterring, or preventing a future change in control, takeover attempt, or merger that other stockholders might consider favorable or in their best financial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have completed the sale of substantially all of our historical revenue-generating assets, and our future viability is subject to the successful execution of an unproven strategic pivot.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we completed the sale of substantially all of our historical assets and operating operations—including our marquee consumer brands (Mueller Living, PurSteam, hOmeLabs, Squatty Potty, Healing Solutions, and Photo Paper Direct)—to Trademark Global, LLC. Following the consummation of the Asset Sale, our remaining business operations consist primarily of our smaller legacy brands, Vremi and Xtava, and residual corporate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our ongoing operating model has been fundamentally altered, and our future viability depends heavily on our ability to successfully execute a strategic "Pivot" or evaluate potential strategic transactions to create long-term growth opportunities. We may be unable to successfully scale our remaining operations or identify and complete a suitable strategic transaction before our capital resources are depleted, and even if we do, there is no assurance that any such initiative will achieve its intended financial or operational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ability to retain key personnel and manage operational continuity may be adversely affected following executive leadership transitions and the completion of the Asset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following the completion of the Asset Sale and the Preferred Stock Sale, David E. Lazar was appointed as Chief Executive Officer and Chairman of the Board, succeeding Arturo Rodriguez. In connection with this transition, Mr. Rodriguez entered into a Transition and Separation Agreement to assist with operational handoff through September 30, 2026, and Chief Financial Officer Joshua Feldman entered into a similar transition agreement through September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transition to new executive management, combined with the substantial reduction in our operating footprint following the sale of our marquee brands, represents a fundamental shift in our corporate leadership and organizational structure. These ongoing changes may create uncertainty regarding our future operational strategy, which could lead to increased employee attrition or hinder our ability to attract, retain, and motivate well-qualified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loss of key remaining operational, financial, or corporate staff during this transition period or an inability to identify suitable long-term successors following the expiration of current executive transition agreements could disrupt our business operations, impair our financial reporting capabilities, and adversely affect our ability to execute our strategic pivot.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historically operated at a loss and we may never achieve or sustain continuous profitability or positive cash flows. Management has determined that there is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experienced significant after-tax losses for the three and six months ended June 30, 2026 and 2025. In addition, our operating costs have increased historically and may fluctuate in future periods as we adjust our organizational structure, which could negatively affect our operating results and our ability to achieve long-term continuous profitability. Following the completion of the Asset Sale on July 17, 2026, our historical core revenue-generating marquee brands are no longer part of our ongoing operations, and our business model relies on our smaller retained legacy brands, Vremi and Xtava, alongside the execution of an unproven strategic pivot.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relied on a combination of cash flows from operations, debt facilities, and private placements of equity to fund our business. While we completed the Asset Sale and Preferred Stock Sale on July 17, 2026—generating $25.0 million in aggregate gross proceeds prior to transaction expenses, adjustments, and debt settlements—there can be no assurance that our capital resources will be sufficient to sustain long-term operations or that our revised business strategy will generate positive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ongoing operating losses and negative cash flows raise substantial doubt about our ability to continue as a going concern. Our independent registered public accounting firm included an explanatory paragraph in its report on our consolidated financial statements for the fiscal year ended December 31, 2025, expressing substantial doubt regarding our ability to continue as a going concern. On July 17, 2026, in connection with the closing of the Aterian Transactions, all outstanding indebtedness under our MidCap credit facility was repaid in full and the facility was terminated. However, if our remaining capital resources are depleted faster than anticipated or if we fail to establish a profitable ongoing business model, we may be forced to make significant alterations to our operating plans, delay growth expenditures, further reduce operating infrastructure, or liquidate remaining assets. In the event of a liquidation or dissolution, the values realized for our remaining assets could be significantly lower than the carrying values reflected in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Increased costs of raw materials, energy, labor, transportation and platform fees charged by marketplaces may adversely affect our business, operating results,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increases in the cost and/or reductions in the availability of raw materials, energy, labor, transportation, and increases in tariffs and platform fees charged by marketplaces have negatively impacted our business, operating results, financial condition, and cash flows and may continue to negatively impact such items in the future. Our contract manufacturers purchase significant amounts of metals, plastics and other materials to manufacture our products. In addition, they also purchase significant amounts of electricity to supply the energy required in their production processes. Global political instabilities, including the Iran conflict, are expected to result in higher metal, plastic, electric, transportation and product costs, and may increase our cost of goods sold in the near term or impair our ability to obtain products at marketable rates or at all. We are heavily dependent on inbound sea, rail and truck freight. Disruptions in the global supply chain and freight networks, has, and may continue to limit inbound and outbound shipment capacity and increase our cost of goods sold and certain operating expenses. Further, the marketplaces on which we sell our products charge fees for selling, storage, advertising and fulfillment, all of which have historically increased, and we expect will continue to increase. Specifically, recent increases in oil prices have contributed to higher marketplace fees. The cost of raw materials, energy, labor, and transportation represents a significant portion of our cost of goods sold, while platform fees charged by marketplaces represent a significant portion of our operating expenses; these costs are not within our control and we have had limited success passing these on to customers. Our business, operating results, financial condition, and cash flows could be adversely affected by future increases in any of these costs. Additionally, the loss or disruption of essential manufacturing and supply elements such as raw materials or other finished product components, restricted transportation or increased freight costs, reduced workforce, or other manufacturing and distribution disruption could adversely impact our ability to meet our customers’ needs. Furthermore, it is not practical for us to mitigate our exposure to, nor are we able to accurately project the possible effect of foreign currency exchange rate fluctuations on our operating results due to our constantly changing exposure to various foreign currencies and the difficulty in predicting fluctuations in foreign currency exchange rates relative to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Recent escalations in geopolitical tensions in Iran, including significant combat operations and retaliatory strikes involving the United States and regional powers, have created substantial volatility in global energy and shipping markets. This conflict has led to disruptions in critical maritime routes and increased the risk of spiked freight insurance premiums and fuel surcharges for inbound shipments from our Asian suppliers. These macroeconomic pressures pose a direct threat to our operating results and could specifically impair our ability to achieve the contribution margin targets required as a condition to the closing of the Asset Purchase Agreement with Trademark Global. Furthermore, any sustained increase in shipping costs or delays in product availability would exacerbate the liquidity constraints that have historically affected our business and could interfere with our ability to maintain compliance with our existing credit facility prior to the anticipated influx of capital from the Aterian Transactions. If we are unable to successfully navigate these disruptions, they would have a material adverse effect on our financial condition and our ability to continue as a going concern.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depend on third-party suppliers for all of our products, most of which are located in Asia, and any inability or delay in obtaining products from such suppliers could have a material adverse effect on our business, operating results, financial condition,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dependent on third-party suppliers such as contract manufacturers and third-party logistics providers and carriers for the manufacturing and distribution of our products and any disruption to our supply chain, even for a relatively short period of time, could cause a loss of revenue, which could adversely affect our business, operating results, financial condition, and cash flows. Our ability to select reliable suppliers that provide timely deliveries of quality products will impact our success in meeting customer demand. Further, for a number of our significant products, we only have a single-source of supply (such as for certain dehumidifiers) and in general we do not have contracts with our contract manufacturers covering costs and production that we believe we can enforce without undue effort or cost. Any supplier’s inability or unwillingness to timely deliver products that meet desired specifications or any unanticipated changes in suppliers could be disruptive and costly and it is unlikely that we will be able to effect alternative arrangements on a timely basis, or in the case of manufacturing certain of our significant products, at all. Any significant failure by us to obtain quality products, in sufficient quantities, on a timely basis, and at an affordable cost or any significant delays or interruptions of supply would have a material adverse effect on our business, operating results,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most of our product suppliers are based in China, our business is subject to additional risks including, among others: currency fluctuations; labor unrest; potential political, economic and social instability; restrictions on transfers of funds; import duties and quotas; changes in domestic and international customs and tariffs, including embargoes and customs restrictions; uncertainties involving the costs to transport and warehouse products due to the dynamic nature of the global supply chain; unexpected changes in regulatory environments; regulatory issues involved in dealing with foreign suppliers and in exporting and importing products. The foregoing factors could have a material adverse effect on our business, operating results, financial condition, and cash flows.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our products experience any recalls, product liability claims, or government, customer or consumer concerns about product safety, our reputation and operating results could be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products are subject to regulation by the U.S. Consumer Product Safety Commission (the “CPSC”) and similar state and international regulatory authorities, and these products sold on our platform could be subject to involuntary recalls and other actions by these authorities. Concerns about product safety including concerns about the safety of products manufactured in developing countries, could lead us to recall selected products. Recalls and government, customer or consumer concerns about product safety could harm our reputation and reduce sales, either of which could have a material adverse effect on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February 2026, 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March 6, 2026, in the U.S. District Court for the District of New Jersey. The complaint alleges various violations, including breach of implied warranty, unjust enrichment, and violations of the New Jersey Products Liability Act. While the Company ceased selling these steamers in 2024, the defense of this existing litigation, and the potential for additional product liability or class action lawsuits, could result in significant legal expenses, settlements, or judgments. Furthermore, these developments could damage the reputation of the PurSteam brand, leading to a loss of consumer trust and a permanent decline in revenue for this product 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13, 2026, 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subject to product liability claims if people or property are harmed by the products we sell. Some of the products we sell may expose us to product liability claims and litigation (including class actions) or regulatory action relating to safety, personal injury, and death or environmental or property damage.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we maintain liability insurance, we cannot be certain that our coverage will be adequate for liabilities actually incurred or that insurance will continue to be available to us on economically reasonable terms, or at all. In general, our agreements with members of our supply chain do not indemnify us from product liability for a particular product, and some members of our supply chain may not have sufficient resources or insurance to satisfy their indemnity and defense obligations.</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failure by us or our vendors to comply with product safety, consumer protection or other laws, or our standard vendor terms and conditions, or to provide safe factory conditions for our or their workers may damage our reputation and brand and harm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products we sell to our clients are subject to regulation by the CPSC, the Federal Trade Commission (“FTC”) and similar state and international regulatory authorities. As a result, such products could be in the future subject to recalls and other remedial actions, including the manner in which we market our products. Product safety or labeling concerns may require us to voluntarily remove selected merchandise from our inventory. Such recalls or voluntary removal of merchandise can result in, among other things, suspension of our seller accounts on Amazon and other online marketplaces, lost sales, diverted resources, potential harm to our reputation and increased client service costs and legal expenses, which could have a material adverse effect on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Some of the products we sell may expose us to product liability claims and litigation or regulatory action relating to personal injury or environmental or property damage. Although we maintain liability insurance and have implemented a quality assurance program that includes obtaining necessary certifications, we cannot be certain that our coverage will be adequate for liabilities actually incurred or that insurance will continue to be available to us on economically reasonable terms or at all. In addition, our agreements with our vendors in general do not indemnify us from product liability for a particular vendor’s products or our vendors may not have sufficient resources or insurance to satisfy their indemnity and defense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is sensitive to the strength of the United States consumer market to a meaningful extent, and changes in consumer spending and economic conditions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strength of the U.S. economy has a significant impact on our performance. We are dependent on discretionary spending, which is affected by, among other things, unemployment rates, economic and political conditions worldwide, consumer confidence, energy and gasoline prices, interest and mortgage rates, the level of consumer debt and taxation, and financial markets, all of which are outside of our control. In particular, the ongoing conflict in Iran has contributed to increased gasoline and energy prices and heightened geopolitical uncertainty, which has negatively impacted discretionary spending at least in the short term, though these effects could be prolonged if the conflict continues or escalates. A continuing softening of demand, whether caused by changes in customer preferences, a weakening of the U.S. or global economies, or regional instability, may result in decreased revenue. We believe we have sustained a decline in the sales of our products in part due to the factors mentioned above, and any continued economic downturn or uncertainties in the U.S. or in other parts of the world could materially and adversely affect our business, operating results, financial condition, and cash flows.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the Litigation and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Claims, litigation, government investigations, product liability and recalls, and other proceedings may adversely affect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from time to time, involved in various claims, litigation matters and regulatory proceedings that could have a material adverse effect on us. These matters may include personal injury and other tort claims, deceptive trade practice disputes, intellectual property disputes, product recalls, contract disputes, employment and tax matters and other proceedings and litigation, including class actions lawsuits. It is not possible to predict the outcome of pending or future litigation and any such claims, with or without merit, could be time consuming and expensive, and may require the Company to incur substantial costs and divert the resources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exposure to product liability and other claims in the event that one of our products is alleged to have resulted in property damage, bodily injury or other adverse effects. In addition, if we are required to, or voluntarily, repair, replace or refund one or more of our products, it could have a material impact on our business, operating results,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financial condition, and cash flows. In addition, it is possible that a resolution of any claim, including as a result of a settlement, could require us to make substantial future payments, prevent us from offering certain products or services, or require us to change our business practices each of which could have a material adverse effect on our business, operating results, financial condition, and cash flows.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 government trade actions, including the expiration of Section 122 tariffs and the transition to alternative tariff authorities, create ongoing uncertainty that could adversely affect our remaining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 the past several years, the U.S. trade environment has undergone unprecedented volatility. Following the Supreme Court’s February 2026 ruling in Learning Resources Inc. v. Trump, which invalidated the administration's broad IEEPA tariffs, the government transitioned to a 10% baseline tariff under Section 122 of the Trade Act of 1974. By statute, these Section 122 tariffs were limited to 150 days and expired on July 24, 2026, as Congress did not pass legislation to extend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the U.S. Court of International Trade (CIT) ruled on May 7, 2026, in Burlap and Barrel, Inc. v. Trump that these Section 122 tariffs were unlawful, the U.S. Court of Appeals for the Federal Circuit subsequently stayed that decision pending appeal on June 11, 2026. As a result, U.S. Customs and Border Protection continued to collect the 10% surcharge on our imports through the July 24, 2026 expiration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the Company received tariff refunds of approximately $2.8 million related to previously paid IEEPA tariffs. The Company recognized this amount as a reduction to cost of goods sold within its Condensed Consolidated Statement of Operations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the expiration of the Section 122 surcharge does not eliminate our tariff exposure. The administration has advanced replacement measures under alternative statutory authorities, such as Section 301 and Section 232, which carry no statutory rate ceiling or fixed expiration. Any implementation of these replacement tariffs, or the imposition of additional trade barriers and retaliatory measures, could materially increase the cost of goods sold for our retained legacy brands, disrupt our supply chain, and adversely affect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the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b/>
          <w:i/>
          <w:caps w:val="false"/>
          <w:smallCaps w:val="false"/>
          <w:sz w:val="20"/>
        </w:rPr>
        <w:t>There is no guarantee of a continuing public market for you to resell our common stock.</w:t>
      </w:r>
      <w:r>
        <w:rPr>
          <w:rFonts w:ascii="Times New Roman" w:hAnsi="Times New Roman"/>
          <w:i/>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no guarantee that we will continue to meet all requirements for continued listing on the Nasdaq Capital Market. We must continue to satisfy Nasdaq’s continued listing requirements, including, among other things, a minimum closing bid price requirement of $1.00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24, 2023,the Company received a notice from The Nasdaq Stock Market LLC (“Nasdaq”) indicating that, based upon the closing bid price of the Company’s common stock, par value $0.0001 per share (“Common Stock”), for the last 30 consecutive business days, the Company was not currently in compliance with the requirement to maintain a minimum bid price of $1.00 per share for continued listing on The Nasdaq Capital Market, as set forth in Nasdaq Listing Rule 5550(a)(2) (the “Bid Price Notice”). In response to the potential risk of delisting, the Company’s stockholders approved granting the Board discretionary authority to implement a reverse stock split, and on March 20, 2024, the Company effected a 1-for-12 reverse stock split of its common stock. The Company subsequently regained compliance with Nasdaq’s minimum bid price requirement in April 2024, and the matter was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9, 2025, the Company received a notice from Nasdaq indicating that, based upon the closing bid price of the Company’s common stock for the last 30 consecutive business days, the Company is not currently in compliance with the requirement to maintain a minimum bid price of $1.00 per share for continued listing on The Nasdaq Capital Market, as set forth in Nasdaq Listing Rule 5550(a)(2).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19, 2026, Nasdaq notified the Company in the Compliance Notice that from May 1, 2026 to May 18, 2026 the closing bid price of the Company’s common stock had been $1.00 per share or greater and, accordingly, the Company had regained compliance with Nasdaq Listing Rule 5550(a)(2) and that the matter was now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future, if our common stock falls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significant material adverse consequences, including: </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110"/>
        <w:gridCol w:w="798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limited availability of market quotations for our common stock;</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amount of news and analyst coverage for us;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decreased ability for us to issue additional securities or obtain additional financing in the future;</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limited liquidity for our stockholders due to thin trading;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loss of confidence by investors and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b/>
          <w:i/>
          <w:caps w:val="false"/>
          <w:smallCaps w:val="false"/>
          <w:sz w:val="20"/>
        </w:rPr>
        <w:t>The SEC</w:t>
      </w:r>
      <w:r>
        <w:rPr>
          <w:rFonts w:ascii="Times New Roman" w:hAnsi="Times New Roman"/>
          <w:i/>
          <w:caps w:val="false"/>
          <w:smallCaps w:val="false"/>
          <w:sz w:val="20"/>
        </w:rPr>
        <w:t>’</w:t>
      </w:r>
      <w:r>
        <w:rPr>
          <w:rFonts w:ascii="Times New Roman" w:hAnsi="Times New Roman"/>
          <w:b/>
          <w:i/>
          <w:caps w:val="false"/>
          <w:smallCaps w:val="false"/>
          <w:sz w:val="20"/>
        </w:rPr>
        <w:t>s approval of Nasdaq</w:t>
      </w:r>
      <w:r>
        <w:rPr>
          <w:rFonts w:ascii="Times New Roman" w:hAnsi="Times New Roman"/>
          <w:i/>
          <w:caps w:val="false"/>
          <w:smallCaps w:val="false"/>
          <w:sz w:val="20"/>
        </w:rPr>
        <w:t>’</w:t>
      </w:r>
      <w:r>
        <w:rPr>
          <w:rFonts w:ascii="Times New Roman" w:hAnsi="Times New Roman"/>
          <w:b/>
          <w:i/>
          <w:caps w:val="false"/>
          <w:smallCaps w:val="false"/>
          <w:sz w:val="20"/>
        </w:rPr>
        <w:t>s $5 million minimum market value continued listing rule has been automatically stayed pending Commission review; however, if the stay is lifted and the rule is ultimately implemented, it could result in the immediate suspension and delisting of our common stock without a cure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22, 2026, the Securities and Exchange Commission (“SEC”) approved a proposed rule change filed by The Nasdaq Stock Market LLC (File No. SR-NASDAQ-2026-004, as modified by Amendment No. 1) establishing a new continued listing requirement under Nasdaq Listing Rules 5450(a)(3) and 5550(a)(6). Under the rule as approved, companies listed on the Nasdaq Global and Capital Markets are required to maintain a minimum Market Value of Listed Securities (“MVLS”) of at least $5.0 million. If a company’s MVLS remains below $5.0 million for 30 consecutive business days, Nasdaq will issue an immediate Staff Delisting Determination and suspend trading in the company’s common stock. Unlike other Nasdaq continued listing deficiencies (such as the $1.00 minimum bid price requirement, which typically provides a 180-day grace period), the rule provides no compliance or cure period prior to suspension. Furthermore, requesting an appeal before the Nasdaq Hearings Panel would not automatically stay the suspension of trading, meaning an affected company’s common stock would be suspended from Nasdaq and forced to trade on the over-the-counter (“OTC”) market during any appeal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However, on July 29, 2026, the implementation of this new continued listing requirement was automatically stayed pursuant to Rule 431(e) of the SEC’s Rules of Practice. The stay was triggered after the Small Public Company Coalition (“SPCC”) and Cemtrex, Inc. each filed notices of their intent to petition the full Commission to review the approval order previously issued by the SEC’s Division of Trading and Markets under delegated authority. On July 29, 2026, the SEC issued a letter confirming that the approval order had been automatically stayed pending further action by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 stay, Nasdaq’s $5.0 million MVLS requirement is currently not effective. Under SEC procedures, the petitioners have five days from their notice to file formal petitions for review setting forth the legal and factual bases for challenging the approval. The Commission may decide whether to grant or decline review and, if granted, may affirm, modify, reverse, set aside, or remand the Division’s approval order. There is no prescribed statutory timeline for the Commission to reach a final decision, and the stay remains in effect during this administrative review process. Furthermore, because seeking Commission review is generally a prerequisite to judicial review, the matter may ultimately be appealed to a federal court of appeals, which could extend the stay and delay potential implementation of the rule for a significant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current stay, significant uncertainty remains regarding the ultimate outcome of the regulatory and potential judicial review processes. If the Commission affirms the rule, if the stay is lifted, or if the rule is otherwise upheld and becomes effective, and if our MVLS remains below $5.0 million for 30 consecutive business days: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would issue an immediate Staff Delisting Determination and suspend trading in our common stock without a compliance or cure period;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common stock would likely be forced to trade on the OTC market, including during any appeal before a Nasdaq Hearings Panel;</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Trading on the OTC market would significantly reduce the liquidity, trading volume, and market price of our common stock;</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additional capital through equity offerings would be severely limited;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could experience a loss of confidence among institutional investors, vendors, and business partners;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common stock could become subject to SEC “penny stock” regulations, imposing heightened disclosure and sales practice burdens on broker-dealers that further restrict secondary market trading.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rule is ultimately reinstated and our market capitalization fluctuates below the required $5.0 million threshold for 30 consecutive business days, there can be no assurance that we will avoid immediate delisting or that a Hearings Panel would grant an exception, any of which would have a material adverse effect on our business, financial condition, results of operations, and the trading value of your investment.</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7" w:name="unregistered"/>
      <w:bookmarkEnd w:id="17"/>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Recent Sales of Unregistered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unregistered sales of the Company’s equity securities during the three months ended June 30, 2026, other than those previously reported in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14, 2025, the Board of Directors authorized a share repurchase program to acquire up to $3.0 million of the Company’s common stock. The Company may purchase common stock on the open market, through privately negotiated transactions, or by other means including through the use of trading plans intended to qualify under Rule 10b-18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and other considerations. The share repurchase program will have a term of 24 months and may be suspended or discontinued at any time and does not obligate the company to acquire any amount of common stock. The objective of this program is to repurchase shares of common stock opportunistically when management believes that the Company’s stock is trading below the Company’s determination of long-term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not repurchased any shares of its common stock under this program to date. As of May 2, 2025, the Company had temporarily suspended its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8" w:name="defaults"/>
      <w:bookmarkEnd w:id="18"/>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9" w:name="minesafety"/>
      <w:bookmarkEnd w:id="1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0" w:name="other"/>
      <w:bookmarkEnd w:id="20"/>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1" w:name="exhibits"/>
      <w:bookmarkEnd w:id="21"/>
      <w:r>
        <w:rPr>
          <w:rFonts w:ascii="Times New Roman" w:hAnsi="Times New Roman"/>
          <w:b/>
          <w:caps w:val="false"/>
          <w:smallCaps w:val="false"/>
          <w:sz w:val="20"/>
        </w:rPr>
        <w:t xml:space="preserve">6.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
        <w:gridCol w:w="60"/>
        <w:gridCol w:w="60"/>
        <w:gridCol w:w="6558"/>
        <w:gridCol w:w="60"/>
        <w:gridCol w:w="500"/>
        <w:gridCol w:w="60"/>
        <w:gridCol w:w="789"/>
        <w:gridCol w:w="60"/>
        <w:gridCol w:w="624"/>
        <w:gridCol w:w="60"/>
        <w:gridCol w:w="652"/>
      </w:tblGrid>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4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center"/>
              <w:rPr/>
            </w:pPr>
            <w:r>
              <w:rPr/>
              <w:t>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hyperlink r:id="rId2">
              <w:r>
                <w:rPr>
                  <w:rStyle w:val="InternetLink"/>
                </w:rPr>
                <w:t>Certificate of Designation of Preferences, Rights and Limitations of Series AA Convertible Non-Redeemable Preferred Stock of Aterian,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001-38937</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4/29/2026</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3.1</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center"/>
              <w:rPr/>
            </w:pPr>
            <w:r>
              <w:rPr/>
              <w:t>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hyperlink r:id="rId3">
              <w:r>
                <w:rPr>
                  <w:rStyle w:val="InternetLink"/>
                </w:rPr>
                <w:t>Certificate of Designation of Preferences, Rights and Limitations of Series AAA Convertible Non-Redeemable Preferred Stock of Aterian,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001-38937</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7/20/2026</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3.1</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hyperlink r:id="rId4">
              <w:r>
                <w:rPr>
                  <w:rStyle w:val="InternetLink"/>
                </w:rPr>
                <w:t>Asset Purchase Agreement, dated as of April 27, 2026, by and between Aterian, Inc. and Trademark Global,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001-38937</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4/29/2026</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10.1</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hyperlink r:id="rId5">
              <w:r>
                <w:rPr>
                  <w:rStyle w:val="InternetLink"/>
                </w:rPr>
                <w:t>Securities Purchase Agreement, dated as of April 27, 2026, by and between Aterian, Inc. and David Lazar</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001-38937</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4/29/2026</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10.2</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center"/>
              <w:rPr/>
            </w:pPr>
            <w:r>
              <w:rPr/>
              <w:t>10.3+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hyperlink r:id="rId6">
              <w:r>
                <w:rPr>
                  <w:rStyle w:val="InternetLink"/>
                </w:rPr>
                <w:t>Form of Voting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001-38937</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4/29/2026</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10.3</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hyperlink r:id="rId7">
              <w:r>
                <w:rPr>
                  <w:rStyle w:val="InternetLink"/>
                </w:rPr>
                <w:t>Amendment No. 5 to that certain Credit and Security Agreement, dated as March 13, 2026, by and Aterian, Inc. and its subsidiaries party thereto as “Credit Parties,” the lenders party thereto from time to time and Midcap Funding IV Trust, as administrative agent.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001-38937</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3/17/2026</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10.1</w:t>
            </w:r>
          </w:p>
        </w:tc>
      </w:tr>
      <w:tr>
        <w:trPr/>
        <w:tc>
          <w:tcPr>
            <w:tcW w:w="7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center"/>
              <w:rPr/>
            </w:pPr>
            <w:r>
              <w:rPr/>
              <w:t>10.5+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hyperlink r:id="rId8">
              <w:r>
                <w:rPr>
                  <w:rStyle w:val="InternetLink"/>
                </w:rPr>
                <w:t>Contingent Value Rights Agreement, dated July 17, 2026, between Aterian, Inc. and Broadridge Corporate Issuer Solutions,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001-38937</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7/20/2026</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center"/>
              <w:rPr/>
            </w:pPr>
            <w:r>
              <w:rPr/>
              <w:t>10.1</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center"/>
              <w:rPr/>
            </w:pPr>
            <w:r>
              <w:rPr/>
              <w:t>31.1*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hyperlink w:anchor="ex_970761.htm">
              <w:r>
                <w:rPr>
                  <w:rStyle w:val="InternetLink"/>
                </w:rPr>
                <w:t>Certifications of the Principal Executive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0"/>
              <w:ind w:left="0" w:right="0" w:hanging="0"/>
              <w:jc w:val="both"/>
              <w:rPr/>
            </w:pPr>
            <w:hyperlink w:anchor="ex_970762.htm">
              <w:r>
                <w:rPr>
                  <w:rStyle w:val="InternetLink"/>
                  <w:rFonts w:ascii="Times New Roman" w:hAnsi="Times New Roman"/>
                  <w:caps w:val="false"/>
                  <w:smallCaps w:val="false"/>
                  <w:sz w:val="20"/>
                </w:rPr>
                <w:t>Certifications of the Principal Financial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0"/>
              <w:ind w:left="0" w:right="0" w:hanging="0"/>
              <w:jc w:val="both"/>
              <w:rPr/>
            </w:pPr>
            <w:hyperlink w:anchor="ex_970763.htm">
              <w:r>
                <w:rPr>
                  <w:rStyle w:val="InternetLink"/>
                  <w:rFonts w:ascii="Times New Roman" w:hAnsi="Times New Roman"/>
                  <w:caps w:val="false"/>
                  <w:smallCaps w:val="false"/>
                  <w:sz w:val="20"/>
                </w:rPr>
                <w:t>Certifications of the Principal Executive Officer and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3" w:type="dxa"/>
            <w:gridSpan w:val="9"/>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3" w:type="dxa"/>
            <w:gridSpan w:val="9"/>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Non-material schedules and exhibits have been omitted pursuant to Item 601(a)(5) of Regulation S-K. The Company hereby undertakes to furnish supplemental copies of any of the omitted schedules and exhibits upon request by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signatures"/>
      <w:bookmarkEnd w:id="22"/>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Quarterly Report on Form 10-Q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2180"/>
        <w:gridCol w:w="320"/>
        <w:gridCol w:w="2390"/>
      </w:tblGrid>
      <w:tr>
        <w:trPr/>
        <w:tc>
          <w:tcPr>
            <w:tcW w:w="2180"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David E. Lazar</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David E. Lazar</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w:t>
            </w:r>
            <w:r>
              <w:rPr>
                <w:rFonts w:ascii="Times New Roman" w:hAnsi="Times New Roman"/>
                <w:i/>
                <w:caps w:val="false"/>
                <w:smallCaps w:val="false"/>
                <w:sz w:val="20"/>
              </w:rPr>
              <w:t>r</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Date: August 14,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Joshua Feldman</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Joshua Feldman</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45 </w:t>
      </w:r>
    </w:p>
    <w:p>
      <w:pPr>
        <w:pStyle w:val="TextBody"/>
        <w:bidi w:val="0"/>
        <w:spacing w:before="0" w:after="0"/>
        <w:ind w:left="0" w:right="0" w:hanging="0"/>
        <w:jc w:val="right"/>
        <w:rPr>
          <w:rFonts w:ascii="Times New Roman" w:hAnsi="Times New Roman"/>
          <w:b/>
          <w:caps w:val="false"/>
          <w:smallCaps w:val="false"/>
          <w:sz w:val="20"/>
        </w:rPr>
      </w:pPr>
      <w:bookmarkStart w:id="23" w:name="ex_970761.htm"/>
      <w:bookmarkStart w:id="24" w:name="ksex_970761"/>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 13a-14(a)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David E. Lazar,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2375"/>
        <w:gridCol w:w="6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David E. Lazar</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David E. Lazar</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Executive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5" w:name="ex_970762.htm"/>
      <w:bookmarkStart w:id="26" w:name="ksex_970762"/>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RULE 13a-14(a)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Joshua Feldman,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2390"/>
        <w:gridCol w:w="6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Joshua Feldman</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Joshua Feldman</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Financial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970763.htm"/>
      <w:bookmarkStart w:id="28" w:name="ksex_970763"/>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AND PRINCIPAL FINANCIAL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Aterian, Inc. (the “Company”) for the period ended </w:t>
      </w:r>
      <w:bookmarkStart w:id="29" w:name="led452710F20237301693427616705"/>
      <w:bookmarkEnd w:id="29"/>
      <w:r>
        <w:rPr>
          <w:rFonts w:ascii="Times New Roman" w:hAnsi="Times New Roman"/>
          <w:caps w:val="false"/>
          <w:smallCaps w:val="false"/>
          <w:sz w:val="20"/>
        </w:rPr>
        <w:t>June 30, 2026 as filed with the Securities and Exchange Commission on the date hereof (the “Report”), the undersigned hereby certify, pursuant to 18 U.S.C. Section 1350, as adopted pursuant to Section 906 of the Sarbanes-Oxley Act of 2002, to their 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375"/>
        <w:gridCol w:w="60"/>
        <w:gridCol w:w="2390"/>
      </w:tblGrid>
      <w:tr>
        <w:trPr/>
        <w:tc>
          <w:tcPr>
            <w:tcW w:w="2375" w:type="dxa"/>
            <w:tcBorders/>
            <w:vAlign w:val="center"/>
          </w:tcPr>
          <w:p>
            <w:pPr>
              <w:pStyle w:val="TableContents"/>
              <w:bidi w:val="0"/>
              <w:spacing w:before="0" w:after="283"/>
              <w:jc w:val="left"/>
              <w:rPr/>
            </w:pPr>
            <w:r>
              <w:rPr/>
              <w:t> </w:t>
            </w:r>
          </w:p>
        </w:tc>
        <w:tc>
          <w:tcPr>
            <w:tcW w:w="2450" w:type="dxa"/>
            <w:gridSpan w:val="2"/>
            <w:tcBorders/>
            <w:vAlign w:val="center"/>
          </w:tcPr>
          <w:p>
            <w:pPr>
              <w:pStyle w:val="TableContents"/>
              <w:bidi w:val="0"/>
              <w:spacing w:before="0" w:after="283"/>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David E. Lazar</w:t>
            </w:r>
          </w:p>
        </w:tc>
        <w:tc>
          <w:tcPr>
            <w:tcW w:w="60" w:type="dxa"/>
            <w:tcBorders/>
            <w:vAlign w:val="center"/>
          </w:tcPr>
          <w:p>
            <w:pPr>
              <w:pStyle w:val="TableContents"/>
              <w:bidi w:val="0"/>
              <w:spacing w:before="0" w:after="283"/>
              <w:jc w:val="left"/>
              <w:rPr/>
            </w:pPr>
            <w:r>
              <w:rPr/>
              <w:t> </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Joshua Feldman</w:t>
            </w:r>
          </w:p>
        </w:tc>
      </w:tr>
      <w:tr>
        <w:trPr/>
        <w:tc>
          <w:tcPr>
            <w:tcW w:w="2375" w:type="dxa"/>
            <w:tcBorders/>
            <w:vAlign w:val="center"/>
          </w:tcPr>
          <w:p>
            <w:pPr>
              <w:pStyle w:val="TableContents"/>
              <w:bidi w:val="0"/>
              <w:spacing w:before="0" w:after="283"/>
              <w:jc w:val="left"/>
              <w:rPr/>
            </w:pPr>
            <w:r>
              <w:rPr/>
              <w:t>David E. Lazar</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Joshua Feldman</w:t>
            </w:r>
          </w:p>
        </w:tc>
      </w:tr>
      <w:tr>
        <w:trPr/>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Financial Officer</w:t>
            </w:r>
          </w:p>
        </w:tc>
      </w:tr>
      <w:tr>
        <w:trPr/>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r>
      <w:tr>
        <w:trPr/>
        <w:tc>
          <w:tcPr>
            <w:tcW w:w="2375"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August 14, 2026</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August 14,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7715/000143774926013884/ex_951852.htm" TargetMode="External"/><Relationship Id="rId3" Type="http://schemas.openxmlformats.org/officeDocument/2006/relationships/hyperlink" Target="http://www.sec.gov/Archives/edgar/data/1757715/000143774926023879/ex_989865.htm" TargetMode="External"/><Relationship Id="rId4" Type="http://schemas.openxmlformats.org/officeDocument/2006/relationships/hyperlink" Target="http://www.sec.gov/Archives/edgar/data/1757715/000143774926013884/ex_951952.htm" TargetMode="External"/><Relationship Id="rId5" Type="http://schemas.openxmlformats.org/officeDocument/2006/relationships/hyperlink" Target="http://www.sec.gov/Archives/edgar/data/1757715/000143774926013884/ex_951953.htm" TargetMode="External"/><Relationship Id="rId6" Type="http://schemas.openxmlformats.org/officeDocument/2006/relationships/hyperlink" Target="http://www.sec.gov/Archives/edgar/data/1757715/000143774926013884/ex_951854.htm" TargetMode="External"/><Relationship Id="rId7" Type="http://schemas.openxmlformats.org/officeDocument/2006/relationships/hyperlink" Target="http://www.sec.gov/Archives/edgar/data/1757715/000143774926008614/ex_933149.htm" TargetMode="External"/><Relationship Id="rId8" Type="http://schemas.openxmlformats.org/officeDocument/2006/relationships/hyperlink" Target="http://www.sec.gov/Archives/edgar/data/1757715/000143774926023879/ex_989840.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28823</Words>
  <Characters>157995</Characters>
  <CharactersWithSpaces>188563</CharactersWithSpaces>
  <Paragraphs>7287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