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ater20260519c_s8.htm"/>
      <w:bookmarkStart w:id="1" w:name="ksater20260519c_s8"/>
      <w:bookmarkEnd w:id="0"/>
      <w:bookmarkEnd w:id="1"/>
      <w:r>
        <w:rPr>
          <w:caps w:val="false"/>
          <w:smallCaps w:val="false"/>
        </w:rPr>
        <w:t> </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As filed with the Securities and Exchange Commission on May 20, 2026</w:t>
      </w:r>
    </w:p>
    <w:p>
      <w:pPr>
        <w:pStyle w:val="TextBody"/>
        <w:bidi w:val="0"/>
        <w:spacing w:before="0" w:after="0"/>
        <w:ind w:left="6840" w:right="0" w:hanging="0"/>
        <w:jc w:val="center"/>
        <w:rPr>
          <w:rFonts w:ascii="Times New Roman" w:hAnsi="Times New Roman"/>
          <w:caps w:val="false"/>
          <w:smallCaps w:val="false"/>
          <w:sz w:val="20"/>
        </w:rPr>
      </w:pPr>
      <w:r>
        <w:rPr>
          <w:rFonts w:ascii="Times New Roman" w:hAnsi="Times New Roman"/>
          <w:b/>
          <w:caps w:val="false"/>
          <w:smallCaps w:val="false"/>
          <w:sz w:val="20"/>
        </w:rPr>
        <w:t>Registration No.</w:t>
      </w:r>
      <w:r>
        <w:rPr>
          <w:rFonts w:ascii="Times New Roman" w:hAnsi="Times New Roman"/>
          <w:caps w:val="false"/>
          <w:smallCaps w:val="false"/>
          <w:sz w:val="20"/>
        </w:rPr>
        <w:t> </w:t>
      </w:r>
      <w:r>
        <w:rPr>
          <w:rFonts w:ascii="Times New Roman" w:hAnsi="Times New Roman"/>
          <w:b/>
          <w:caps w:val="false"/>
          <w:smallCaps w:val="false"/>
          <w:sz w:val="20"/>
        </w:rPr>
        <w:t>333-</w:t>
      </w:r>
    </w:p>
    <w:p>
      <w:pPr>
        <w:pStyle w:val="TextBody"/>
        <w:bidi w:val="0"/>
        <w:spacing w:before="0" w:after="0"/>
        <w:ind w:left="684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b/>
          <w:caps w:val="false"/>
          <w:smallCaps w:val="false"/>
          <w:sz w:val="36"/>
        </w:rPr>
      </w:pPr>
      <w:r>
        <w:rPr>
          <w:rFonts w:ascii="Times New Roman" w:hAnsi="Times New Roman"/>
          <w:b/>
          <w:caps w:val="false"/>
          <w:smallCaps w:val="false"/>
          <w:sz w:val="36"/>
        </w:rPr>
        <w:t>UNITED STATES</w:t>
      </w:r>
    </w:p>
    <w:p>
      <w:pPr>
        <w:pStyle w:val="TextBody"/>
        <w:bidi w:val="0"/>
        <w:spacing w:before="0" w:after="0"/>
        <w:ind w:left="0" w:right="0" w:hanging="0"/>
        <w:jc w:val="center"/>
        <w:rPr>
          <w:rFonts w:ascii="Times New Roman" w:hAnsi="Times New Roman"/>
          <w:b/>
          <w:caps w:val="false"/>
          <w:smallCaps w:val="false"/>
          <w:sz w:val="36"/>
        </w:rPr>
      </w:pPr>
      <w:r>
        <w:rPr>
          <w:rFonts w:ascii="Times New Roman" w:hAnsi="Times New Roman"/>
          <w:b/>
          <w:caps w:val="false"/>
          <w:smallCaps w:val="false"/>
          <w:sz w:val="36"/>
        </w:rPr>
        <w:t>SECURITIES AND EXCHANGE COMMISSION</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36"/>
        </w:rPr>
      </w:pPr>
      <w:r>
        <w:rPr>
          <w:rFonts w:ascii="Times New Roman" w:hAnsi="Times New Roman"/>
          <w:b/>
          <w:caps w:val="false"/>
          <w:smallCaps w:val="false"/>
          <w:sz w:val="36"/>
        </w:rPr>
        <w:t>FORM</w:t>
      </w:r>
      <w:r>
        <w:rPr>
          <w:rFonts w:ascii="Times New Roman" w:hAnsi="Times New Roman"/>
          <w:caps w:val="false"/>
          <w:smallCaps w:val="false"/>
          <w:sz w:val="36"/>
        </w:rPr>
        <w:t> </w:t>
      </w:r>
      <w:r>
        <w:rPr>
          <w:rFonts w:ascii="Times New Roman" w:hAnsi="Times New Roman"/>
          <w:b/>
          <w:caps w:val="false"/>
          <w:smallCaps w:val="false"/>
          <w:sz w:val="36"/>
        </w:rPr>
        <w:t>S-8</w:t>
      </w:r>
    </w:p>
    <w:p>
      <w:pPr>
        <w:pStyle w:val="TextBody"/>
        <w:bidi w:val="0"/>
        <w:spacing w:before="0" w:after="0"/>
        <w:ind w:left="0" w:right="0" w:hanging="0"/>
        <w:jc w:val="center"/>
        <w:rPr>
          <w:rFonts w:ascii="Times New Roman" w:hAnsi="Times New Roman"/>
          <w:b/>
          <w:caps w:val="false"/>
          <w:smallCaps w:val="false"/>
          <w:sz w:val="36"/>
        </w:rPr>
      </w:pPr>
      <w:r>
        <w:rPr>
          <w:rFonts w:ascii="Times New Roman" w:hAnsi="Times New Roman"/>
          <w:b/>
          <w:caps w:val="false"/>
          <w:smallCaps w:val="false"/>
          <w:sz w:val="36"/>
        </w:rPr>
        <w:t>REGISTRATION STATEMENT</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UNDER</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THE SECURITIES ACT OF 1933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48"/>
        </w:rPr>
      </w:pPr>
      <w:r>
        <w:rPr>
          <w:rFonts w:ascii="Times New Roman" w:hAnsi="Times New Roman"/>
          <w:b/>
          <w:caps w:val="false"/>
          <w:smallCaps w:val="false"/>
          <w:sz w:val="48"/>
        </w:rPr>
        <w:t>Aterian,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tbl>
      <w:tblPr>
        <w:tblW w:w="4285" w:type="dxa"/>
        <w:jc w:val="left"/>
        <w:tblInd w:w="0" w:type="dxa"/>
        <w:tblLayout w:type="fixed"/>
        <w:tblCellMar>
          <w:top w:w="0" w:type="dxa"/>
          <w:left w:w="0" w:type="dxa"/>
          <w:bottom w:w="0" w:type="dxa"/>
          <w:right w:w="0" w:type="dxa"/>
        </w:tblCellMar>
      </w:tblPr>
      <w:tblGrid>
        <w:gridCol w:w="2660"/>
        <w:gridCol w:w="60"/>
        <w:gridCol w:w="1565"/>
      </w:tblGrid>
      <w:tr>
        <w:trPr/>
        <w:tc>
          <w:tcPr>
            <w:tcW w:w="2660" w:type="dxa"/>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Delaware</w:t>
            </w:r>
          </w:p>
        </w:tc>
        <w:tc>
          <w:tcPr>
            <w:tcW w:w="6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83-1739858</w:t>
            </w:r>
          </w:p>
        </w:tc>
      </w:tr>
      <w:tr>
        <w:trPr/>
        <w:tc>
          <w:tcPr>
            <w:tcW w:w="2660" w:type="dxa"/>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(State or other jurisdiction of</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incorporation or organization)</w:t>
            </w:r>
          </w:p>
        </w:tc>
        <w:tc>
          <w:tcPr>
            <w:tcW w:w="6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(I.R.S. Employer</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Identification No.)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350 Springfield Ave. Ste 200</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Summit, NJ 07901</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(Address of Principal Executive Offices)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Amended and Restated Aterian, Inc. 2018 Equity Incentive Plan</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(Full title of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Arturo Rodriguez</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Chief Executive Officer</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Aterian,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350 Springfield Ave. Ste 200</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Summit, NJ 07901</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(347)</w:t>
      </w:r>
      <w:r>
        <w:rPr>
          <w:rFonts w:ascii="Times New Roman" w:hAnsi="Times New Roman"/>
          <w:caps w:val="false"/>
          <w:smallCaps w:val="false"/>
          <w:sz w:val="20"/>
        </w:rPr>
        <w:t> </w:t>
      </w:r>
      <w:r>
        <w:rPr>
          <w:rFonts w:ascii="Times New Roman" w:hAnsi="Times New Roman"/>
          <w:b/>
          <w:caps w:val="false"/>
          <w:smallCaps w:val="false"/>
          <w:sz w:val="20"/>
        </w:rPr>
        <w:t>676-1681</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(Name, address and telephone number, including area code, of agent for service)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i/>
          <w:caps w:val="false"/>
          <w:smallCaps w:val="false"/>
          <w:sz w:val="20"/>
        </w:rPr>
      </w:pPr>
      <w:r>
        <w:rPr>
          <w:rFonts w:ascii="Times New Roman" w:hAnsi="Times New Roman"/>
          <w:b/>
          <w:i/>
          <w:caps w:val="false"/>
          <w:smallCaps w:val="false"/>
          <w:sz w:val="20"/>
        </w:rPr>
        <w:t>Copies to:</w:t>
      </w:r>
    </w:p>
    <w:p>
      <w:pPr>
        <w:pStyle w:val="TextBody"/>
        <w:bidi w:val="0"/>
        <w:spacing w:before="0" w:after="0"/>
        <w:ind w:left="0" w:right="0" w:hanging="0"/>
        <w:jc w:val="left"/>
        <w:rPr>
          <w:caps w:val="false"/>
          <w:smallCaps w:val="false"/>
        </w:rPr>
      </w:pPr>
      <w:r>
        <w:rPr>
          <w:caps w:val="false"/>
          <w:smallCaps w:val="false"/>
        </w:rPr>
        <w:t> </w:t>
      </w:r>
    </w:p>
    <w:tbl>
      <w:tblPr>
        <w:tblW w:w="2405" w:type="dxa"/>
        <w:jc w:val="left"/>
        <w:tblInd w:w="0" w:type="dxa"/>
        <w:tblLayout w:type="fixed"/>
        <w:tblCellMar>
          <w:top w:w="0" w:type="dxa"/>
          <w:left w:w="0" w:type="dxa"/>
          <w:bottom w:w="0" w:type="dxa"/>
          <w:right w:w="0" w:type="dxa"/>
        </w:tblCellMar>
      </w:tblPr>
      <w:tblGrid>
        <w:gridCol w:w="2405"/>
      </w:tblGrid>
      <w:tr>
        <w:trPr/>
        <w:tc>
          <w:tcPr>
            <w:tcW w:w="2405" w:type="dxa"/>
            <w:tcBorders/>
            <w:vAlign w:val="center"/>
          </w:tcPr>
          <w:p>
            <w:pPr>
              <w:pStyle w:val="TableContents"/>
              <w:bidi w:val="0"/>
              <w:spacing w:before="0" w:after="283"/>
              <w:jc w:val="left"/>
              <w:rPr/>
            </w:pPr>
            <w:r>
              <w:rPr/>
              <w:t> </w:t>
            </w:r>
          </w:p>
        </w:tc>
      </w:tr>
      <w:tr>
        <w:trPr/>
        <w:tc>
          <w:tcPr>
            <w:tcW w:w="2405" w:type="dxa"/>
            <w:tcBorders/>
            <w:vAlign w:val="center"/>
          </w:tcPr>
          <w:p>
            <w:pPr>
              <w:pStyle w:val="TableContents"/>
              <w:bidi w:val="0"/>
              <w:spacing w:before="0" w:after="283"/>
              <w:jc w:val="center"/>
              <w:rPr>
                <w:b/>
              </w:rPr>
            </w:pPr>
            <w:r>
              <w:rPr>
                <w:b/>
              </w:rPr>
              <w:t>Joshua Feldman</w:t>
            </w:r>
          </w:p>
        </w:tc>
      </w:tr>
      <w:tr>
        <w:trPr/>
        <w:tc>
          <w:tcPr>
            <w:tcW w:w="2405" w:type="dxa"/>
            <w:tcBorders/>
            <w:vAlign w:val="center"/>
          </w:tcPr>
          <w:p>
            <w:pPr>
              <w:pStyle w:val="TableContents"/>
              <w:bidi w:val="0"/>
              <w:spacing w:before="0" w:after="283"/>
              <w:jc w:val="center"/>
              <w:rPr>
                <w:b/>
              </w:rPr>
            </w:pPr>
            <w:r>
              <w:rPr>
                <w:b/>
              </w:rPr>
              <w:t>Chief Financial Officer</w:t>
            </w:r>
          </w:p>
        </w:tc>
      </w:tr>
      <w:tr>
        <w:trPr/>
        <w:tc>
          <w:tcPr>
            <w:tcW w:w="240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Aterian, Inc.</w:t>
            </w:r>
          </w:p>
        </w:tc>
      </w:tr>
      <w:tr>
        <w:trPr/>
        <w:tc>
          <w:tcPr>
            <w:tcW w:w="240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350 Springfield Ave. Ste 200</w:t>
            </w:r>
          </w:p>
        </w:tc>
      </w:tr>
      <w:tr>
        <w:trPr/>
        <w:tc>
          <w:tcPr>
            <w:tcW w:w="240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Summit, NJ 07901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4505" w:type="dxa"/>
        <w:jc w:val="left"/>
        <w:tblInd w:w="0" w:type="dxa"/>
        <w:tblLayout w:type="fixed"/>
        <w:tblCellMar>
          <w:top w:w="0" w:type="dxa"/>
          <w:left w:w="0" w:type="dxa"/>
          <w:bottom w:w="0" w:type="dxa"/>
          <w:right w:w="0" w:type="dxa"/>
        </w:tblCellMar>
      </w:tblPr>
      <w:tblGrid>
        <w:gridCol w:w="1820"/>
        <w:gridCol w:w="230"/>
        <w:gridCol w:w="2225"/>
        <w:gridCol w:w="230"/>
      </w:tblGrid>
      <w:tr>
        <w:trPr/>
        <w:tc>
          <w:tcPr>
            <w:tcW w:w="18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18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Large accelerated filer</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2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Accelerated filer</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18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18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Non-accelerated filer</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2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Smaller reporting company</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18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18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Emerging growth company</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EXPLANATORY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Aterian, Inc. (the “Registrant”) has prepared this registration statement (this “Registration Statement”) in accordance with the requirements of Form S-8 under the Securities Act of 1933, as amended, to register 1,898,733 additional shares of Common Stock reserved for issuance under the Amended and Restated Aterian, Inc. 2018 Equity Incentive Plan (the “2018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80"/>
        <w:jc w:val="both"/>
        <w:rPr>
          <w:rFonts w:ascii="Times New Roman" w:hAnsi="Times New Roman"/>
          <w:caps w:val="false"/>
          <w:smallCaps w:val="false"/>
          <w:sz w:val="20"/>
        </w:rPr>
      </w:pPr>
      <w:r>
        <w:rPr>
          <w:rFonts w:ascii="Times New Roman" w:hAnsi="Times New Roman"/>
          <w:caps w:val="false"/>
          <w:smallCaps w:val="false"/>
          <w:sz w:val="20"/>
        </w:rPr>
        <w:t>Pursuant to the Registration Statements on Form S-8 (File Nos. 333-232087, 333-251295, 333-256612, 333-263906, 333-270669, 333-278147 and 333-286092) filed by the Registrant with the Securities and Exchange Commission (the “Commission”) on June 13, 2019, December 11, 2020, May 28, 2021, March 28, 2022, March 17, 2023, March 21, 2024, and March 25, 2025 (the “Prior Registration Statements”), the Registrant previously registered an aggregate of 36,448,624 shares of Common Stock under the 2018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80" w:right="0" w:hanging="0"/>
        <w:jc w:val="both"/>
        <w:rPr>
          <w:rFonts w:ascii="Times New Roman" w:hAnsi="Times New Roman"/>
          <w:caps w:val="false"/>
          <w:smallCaps w:val="false"/>
          <w:sz w:val="20"/>
        </w:rPr>
      </w:pPr>
      <w:r>
        <w:rPr>
          <w:rFonts w:ascii="Times New Roman" w:hAnsi="Times New Roman"/>
          <w:caps w:val="false"/>
          <w:smallCaps w:val="false"/>
          <w:sz w:val="20"/>
        </w:rPr>
        <w:t>In accordance with General Instruction E to Form S-8, the contents of the Prior Registration Statements are hereby incorporated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PART 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INFORMATION REQUIRED IN THE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3. INCORPORATION OF DOCUMENTS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The following documents filed by the Registrant with the Commission are hereby incorporated by reference into this Registration Statement: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22"/>
        <w:gridCol w:w="9923"/>
      </w:tblGrid>
      <w:tr>
        <w:trPr/>
        <w:tc>
          <w:tcPr>
            <w:tcW w:w="60" w:type="dxa"/>
            <w:tcBorders/>
            <w:vAlign w:val="center"/>
          </w:tcPr>
          <w:p>
            <w:pPr>
              <w:pStyle w:val="TableContents"/>
              <w:bidi w:val="0"/>
              <w:spacing w:before="0" w:after="283"/>
              <w:jc w:val="left"/>
              <w:rPr/>
            </w:pPr>
            <w:r>
              <w:rPr/>
              <w:t> </w:t>
            </w:r>
          </w:p>
        </w:tc>
        <w:tc>
          <w:tcPr>
            <w:tcW w:w="222"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w:t>
            </w:r>
          </w:p>
        </w:tc>
        <w:tc>
          <w:tcPr>
            <w:tcW w:w="9923" w:type="dxa"/>
            <w:tcBorders/>
            <w:vAlign w:val="center"/>
          </w:tcPr>
          <w:p>
            <w:pPr>
              <w:pStyle w:val="TableContents"/>
              <w:bidi w:val="0"/>
              <w:spacing w:before="0" w:after="0"/>
              <w:ind w:left="0" w:right="0" w:hanging="0"/>
              <w:jc w:val="both"/>
              <w:rPr/>
            </w:pPr>
            <w:r>
              <w:rPr>
                <w:rFonts w:ascii="Times New Roman" w:hAnsi="Times New Roman"/>
                <w:caps w:val="false"/>
                <w:smallCaps w:val="false"/>
                <w:sz w:val="20"/>
              </w:rPr>
              <w:t>The Registrant’s Annual Report on </w:t>
            </w:r>
            <w:hyperlink r:id="rId2">
              <w:r>
                <w:rPr>
                  <w:rStyle w:val="InternetLink"/>
                  <w:rFonts w:ascii="Times New Roman" w:hAnsi="Times New Roman"/>
                  <w:caps w:val="false"/>
                  <w:smallCaps w:val="false"/>
                  <w:sz w:val="20"/>
                </w:rPr>
                <w:t>Form 10-K</w:t>
              </w:r>
            </w:hyperlink>
            <w:r>
              <w:rPr>
                <w:rFonts w:ascii="Times New Roman" w:hAnsi="Times New Roman"/>
                <w:caps w:val="false"/>
                <w:smallCaps w:val="false"/>
                <w:sz w:val="20"/>
              </w:rPr>
              <w:t> for the fiscal year ended December 31, 2025, filed with the Commission on March 23, 2026;</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230"/>
        <w:gridCol w:w="9915"/>
      </w:tblGrid>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w:t>
            </w:r>
          </w:p>
        </w:tc>
        <w:tc>
          <w:tcPr>
            <w:tcW w:w="9915" w:type="dxa"/>
            <w:tcBorders/>
            <w:vAlign w:val="center"/>
          </w:tcPr>
          <w:p>
            <w:pPr>
              <w:pStyle w:val="TableContents"/>
              <w:bidi w:val="0"/>
              <w:spacing w:before="0" w:after="283"/>
              <w:jc w:val="left"/>
              <w:rPr/>
            </w:pPr>
            <w:r>
              <w:rPr/>
              <w:t xml:space="preserve">The Registrant’s Quarterly Report on </w:t>
            </w:r>
            <w:hyperlink r:id="rId3">
              <w:r>
                <w:rPr>
                  <w:rStyle w:val="InternetLink"/>
                </w:rPr>
                <w:t>Form 10-Q</w:t>
              </w:r>
            </w:hyperlink>
            <w:r>
              <w:rPr/>
              <w:t xml:space="preserve"> for the quarter ended March 31, 2026, filed with the Commission on May 15, 2026;</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222"/>
        <w:gridCol w:w="9923"/>
      </w:tblGrid>
      <w:tr>
        <w:trPr/>
        <w:tc>
          <w:tcPr>
            <w:tcW w:w="60" w:type="dxa"/>
            <w:tcBorders/>
            <w:vAlign w:val="center"/>
          </w:tcPr>
          <w:p>
            <w:pPr>
              <w:pStyle w:val="TableContents"/>
              <w:bidi w:val="0"/>
              <w:spacing w:before="0" w:after="283"/>
              <w:jc w:val="left"/>
              <w:rPr/>
            </w:pPr>
            <w:r>
              <w:rPr/>
              <w:t> </w:t>
            </w:r>
          </w:p>
        </w:tc>
        <w:tc>
          <w:tcPr>
            <w:tcW w:w="222"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w:t>
            </w:r>
          </w:p>
        </w:tc>
        <w:tc>
          <w:tcPr>
            <w:tcW w:w="9923" w:type="dxa"/>
            <w:tcBorders/>
            <w:vAlign w:val="center"/>
          </w:tcPr>
          <w:p>
            <w:pPr>
              <w:pStyle w:val="TableContents"/>
              <w:bidi w:val="0"/>
              <w:spacing w:before="0" w:after="283"/>
              <w:jc w:val="left"/>
              <w:rPr/>
            </w:pPr>
            <w:r>
              <w:rPr/>
              <w:t xml:space="preserve">The Registrant’s Current Reports on Form 8-K filed with the Commission on </w:t>
            </w:r>
            <w:hyperlink r:id="rId4">
              <w:r>
                <w:rPr>
                  <w:rStyle w:val="InternetLink"/>
                </w:rPr>
                <w:t>March 17, 2026</w:t>
              </w:r>
            </w:hyperlink>
            <w:r>
              <w:rPr/>
              <w:t xml:space="preserve"> and </w:t>
            </w:r>
            <w:hyperlink r:id="rId5">
              <w:r>
                <w:rPr>
                  <w:rStyle w:val="InternetLink"/>
                </w:rPr>
                <w:t>April 29, 2026</w:t>
              </w:r>
            </w:hyperlink>
            <w:r>
              <w:rPr/>
              <w:t>;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97"/>
        <w:gridCol w:w="9948"/>
      </w:tblGrid>
      <w:tr>
        <w:trPr/>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w:t>
            </w:r>
          </w:p>
        </w:tc>
        <w:tc>
          <w:tcPr>
            <w:tcW w:w="9948" w:type="dxa"/>
            <w:tcBorders/>
            <w:vAlign w:val="center"/>
          </w:tcPr>
          <w:p>
            <w:pPr>
              <w:pStyle w:val="TableContents"/>
              <w:bidi w:val="0"/>
              <w:spacing w:before="0" w:after="283"/>
              <w:jc w:val="left"/>
              <w:rPr/>
            </w:pPr>
            <w:r>
              <w:rPr/>
              <w:t xml:space="preserve">The description of the Common Stock set forth in the Registrant’s Registration Statement on </w:t>
            </w:r>
            <w:hyperlink r:id="rId6">
              <w:r>
                <w:rPr>
                  <w:rStyle w:val="InternetLink"/>
                </w:rPr>
                <w:t>Form 8-A</w:t>
              </w:r>
            </w:hyperlink>
            <w:r>
              <w:rPr/>
              <w:t xml:space="preserve"> (File No. 001-38937), filed with the Commission on June 11, 2019, including any amendments or reports filed for the purpose of updating such description, including the description of the Common Stock included as </w:t>
            </w:r>
            <w:hyperlink r:id="rId7">
              <w:r>
                <w:rPr>
                  <w:rStyle w:val="InternetLink"/>
                </w:rPr>
                <w:t>Exhibit 4.9</w:t>
              </w:r>
            </w:hyperlink>
            <w:r>
              <w:rPr/>
              <w:t xml:space="preserve"> to the Registrant’s Annual Report on Form 10-K for the year ended December 31, 2022, filed with the Commission on March 16, 2023.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All other reports and other documents subsequently filed by the Registrant pursuant to Sections 13(a), 13(c), 14 or 15(d) of the Securities Exchange Act of 1934, as amended (the “Exchange Act”), prior to the filing of a post-effective amendment which indicates that all securities offered hereby have been sold or which deregisters all securities then remaining unsold, shall be deemed to be incorporated by reference into this Registration Statement and to be a part of this Registration Statement from the date of the filing of such reports and documents, except as to any portion of any future annual or quarterly report to stockholders or document or current report furnished under Items 2.02 or 7.01 of Form 8-K that is not deemed filed under such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For the purposes of this Registration Statement, any statement contained in a document incorporated or deemed to be incorporated by reference herein shall be deemed to be modified or superseded to the extent that a statement contained herein or in any other subsequently filed document that also is or is deemed to be incorporated by reference herein modifies or supersedes such statement. Any such statement so modified or superseded shall not be deemed, except as so modified or superseded, to constitute a part of this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You should rely only on the information provided or incorporated by reference in this Registration Statement or any related prospectus. The Registrant has not authorized anyone to provide you with different information. You should not assume that the information in this Registration Statement or any related prospectus is accurate as of any date other than the date on the front of the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You may contact the Registrant in writing or orally to request copies of the above-referenced filings, without charge (excluding exhibits to such documents unless such exhibits are specifically incorporated by reference into the information incorporated into this Registration Statement). Requests for such information should be directed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Aterian, Inc.</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350 Springfield Ave. Ste 200</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Summit, NJ 07901</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(347) 676-1681</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Attn: Chief Financial Officer</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8. EXHIBITS.</w:t>
      </w:r>
    </w:p>
    <w:tbl>
      <w:tblPr>
        <w:tblW w:w="10205" w:type="dxa"/>
        <w:jc w:val="left"/>
        <w:tblInd w:w="0" w:type="dxa"/>
        <w:tblLayout w:type="fixed"/>
        <w:tblCellMar>
          <w:top w:w="0" w:type="dxa"/>
          <w:left w:w="0" w:type="dxa"/>
          <w:bottom w:w="0" w:type="dxa"/>
          <w:right w:w="0" w:type="dxa"/>
        </w:tblCellMar>
      </w:tblPr>
      <w:tblGrid>
        <w:gridCol w:w="710"/>
        <w:gridCol w:w="9495"/>
      </w:tblGrid>
      <w:tr>
        <w:trPr/>
        <w:tc>
          <w:tcPr>
            <w:tcW w:w="710" w:type="dxa"/>
            <w:tcBorders/>
            <w:vAlign w:val="center"/>
          </w:tcPr>
          <w:p>
            <w:pPr>
              <w:pStyle w:val="TableContents"/>
              <w:bidi w:val="0"/>
              <w:spacing w:before="0" w:after="283"/>
              <w:jc w:val="left"/>
              <w:rPr/>
            </w:pPr>
            <w:r>
              <w:rPr/>
              <w:t> </w:t>
            </w:r>
          </w:p>
        </w:tc>
        <w:tc>
          <w:tcPr>
            <w:tcW w:w="9495" w:type="dxa"/>
            <w:tcBorders/>
            <w:vAlign w:val="center"/>
          </w:tcPr>
          <w:p>
            <w:pPr>
              <w:pStyle w:val="TableContents"/>
              <w:bidi w:val="0"/>
              <w:spacing w:before="0" w:after="283"/>
              <w:jc w:val="left"/>
              <w:rPr/>
            </w:pPr>
            <w:r>
              <w:rPr/>
              <w:t> </w:t>
            </w:r>
          </w:p>
        </w:tc>
      </w:tr>
      <w:tr>
        <w:trPr/>
        <w:tc>
          <w:tcPr>
            <w:tcW w:w="71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Exhibit</w:t>
            </w:r>
            <w:r>
              <w:rPr>
                <w:rFonts w:ascii="Times New Roman" w:hAnsi="Times New Roman"/>
                <w:caps w:val="false"/>
                <w:smallCaps w:val="false"/>
                <w:sz w:val="20"/>
              </w:rPr>
              <w:br/>
            </w:r>
            <w:r>
              <w:rPr>
                <w:rFonts w:ascii="Times New Roman" w:hAnsi="Times New Roman"/>
                <w:b/>
                <w:caps w:val="false"/>
                <w:smallCaps w:val="false"/>
                <w:sz w:val="20"/>
              </w:rPr>
              <w:t>Number</w:t>
            </w:r>
          </w:p>
        </w:tc>
        <w:tc>
          <w:tcPr>
            <w:tcW w:w="949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Description</w:t>
            </w:r>
          </w:p>
        </w:tc>
      </w:tr>
      <w:tr>
        <w:trPr/>
        <w:tc>
          <w:tcPr>
            <w:tcW w:w="710" w:type="dxa"/>
            <w:tcBorders/>
            <w:vAlign w:val="center"/>
          </w:tcPr>
          <w:p>
            <w:pPr>
              <w:pStyle w:val="TableContents"/>
              <w:bidi w:val="0"/>
              <w:spacing w:before="0" w:after="283"/>
              <w:jc w:val="left"/>
              <w:rPr/>
            </w:pPr>
            <w:r>
              <w:rPr/>
              <w:t> </w:t>
            </w:r>
          </w:p>
        </w:tc>
        <w:tc>
          <w:tcPr>
            <w:tcW w:w="9495" w:type="dxa"/>
            <w:tcBorders/>
            <w:vAlign w:val="center"/>
          </w:tcPr>
          <w:p>
            <w:pPr>
              <w:pStyle w:val="TableContents"/>
              <w:bidi w:val="0"/>
              <w:spacing w:before="0" w:after="283"/>
              <w:jc w:val="left"/>
              <w:rPr/>
            </w:pPr>
            <w:r>
              <w:rPr/>
              <w:t> </w:t>
            </w:r>
          </w:p>
        </w:tc>
      </w:tr>
      <w:tr>
        <w:trPr/>
        <w:tc>
          <w:tcPr>
            <w:tcW w:w="7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3.1</w:t>
            </w:r>
          </w:p>
        </w:tc>
        <w:tc>
          <w:tcPr>
            <w:tcW w:w="9495" w:type="dxa"/>
            <w:tcBorders/>
            <w:vAlign w:val="center"/>
          </w:tcPr>
          <w:p>
            <w:pPr>
              <w:pStyle w:val="TableContents"/>
              <w:bidi w:val="0"/>
              <w:spacing w:before="0" w:after="0"/>
              <w:ind w:left="0" w:right="0" w:hanging="0"/>
              <w:jc w:val="both"/>
              <w:rPr/>
            </w:pPr>
            <w:hyperlink r:id="rId8">
              <w:r>
                <w:rPr>
                  <w:rStyle w:val="InternetLink"/>
                  <w:rFonts w:ascii="Times New Roman" w:hAnsi="Times New Roman"/>
                  <w:caps w:val="false"/>
                  <w:smallCaps w:val="false"/>
                  <w:sz w:val="20"/>
                </w:rPr>
                <w:t>Amended and Restated Certificate of Incorporation (previously filed as Exhibit 3.1 to the Registrant’s Current Report on Form 8-K filed on June 14, 2019 and incorporated herein by reference).</w:t>
              </w:r>
            </w:hyperlink>
          </w:p>
        </w:tc>
      </w:tr>
      <w:tr>
        <w:trPr/>
        <w:tc>
          <w:tcPr>
            <w:tcW w:w="710" w:type="dxa"/>
            <w:tcBorders/>
            <w:vAlign w:val="center"/>
          </w:tcPr>
          <w:p>
            <w:pPr>
              <w:pStyle w:val="TableContents"/>
              <w:bidi w:val="0"/>
              <w:spacing w:before="0" w:after="283"/>
              <w:jc w:val="center"/>
              <w:rPr/>
            </w:pPr>
            <w:r>
              <w:rPr/>
              <w:t> </w:t>
            </w:r>
          </w:p>
        </w:tc>
        <w:tc>
          <w:tcPr>
            <w:tcW w:w="9495" w:type="dxa"/>
            <w:tcBorders/>
            <w:vAlign w:val="center"/>
          </w:tcPr>
          <w:p>
            <w:pPr>
              <w:pStyle w:val="TableContents"/>
              <w:bidi w:val="0"/>
              <w:spacing w:before="0" w:after="283"/>
              <w:jc w:val="left"/>
              <w:rPr/>
            </w:pPr>
            <w:r>
              <w:rPr/>
              <w:t> </w:t>
            </w:r>
          </w:p>
        </w:tc>
      </w:tr>
      <w:tr>
        <w:trPr/>
        <w:tc>
          <w:tcPr>
            <w:tcW w:w="7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3.2</w:t>
            </w:r>
          </w:p>
        </w:tc>
        <w:tc>
          <w:tcPr>
            <w:tcW w:w="9495" w:type="dxa"/>
            <w:tcBorders/>
            <w:vAlign w:val="center"/>
          </w:tcPr>
          <w:p>
            <w:pPr>
              <w:pStyle w:val="TableContents"/>
              <w:bidi w:val="0"/>
              <w:spacing w:before="0" w:after="0"/>
              <w:ind w:left="0" w:right="0" w:hanging="0"/>
              <w:jc w:val="both"/>
              <w:rPr/>
            </w:pPr>
            <w:hyperlink r:id="rId9">
              <w:r>
                <w:rPr>
                  <w:rStyle w:val="InternetLink"/>
                  <w:rFonts w:ascii="Times New Roman" w:hAnsi="Times New Roman"/>
                  <w:caps w:val="false"/>
                  <w:smallCaps w:val="false"/>
                  <w:sz w:val="20"/>
                </w:rPr>
                <w:t>Certificate of Amendment to the Amended and Restated Certificate of Incorporation (previously filed as Exhibit 3.1 to the Registrant’s Current Report on Form 8-K filed on April 30, 2021 and incorporated herein by reference).</w:t>
              </w:r>
            </w:hyperlink>
          </w:p>
        </w:tc>
      </w:tr>
      <w:tr>
        <w:trPr/>
        <w:tc>
          <w:tcPr>
            <w:tcW w:w="710" w:type="dxa"/>
            <w:tcBorders/>
            <w:vAlign w:val="center"/>
          </w:tcPr>
          <w:p>
            <w:pPr>
              <w:pStyle w:val="TableContents"/>
              <w:bidi w:val="0"/>
              <w:spacing w:before="0" w:after="283"/>
              <w:jc w:val="left"/>
              <w:rPr/>
            </w:pPr>
            <w:r>
              <w:rPr/>
              <w:t> </w:t>
            </w:r>
          </w:p>
        </w:tc>
        <w:tc>
          <w:tcPr>
            <w:tcW w:w="9495" w:type="dxa"/>
            <w:tcBorders/>
            <w:vAlign w:val="center"/>
          </w:tcPr>
          <w:p>
            <w:pPr>
              <w:pStyle w:val="TableContents"/>
              <w:bidi w:val="0"/>
              <w:spacing w:before="0" w:after="283"/>
              <w:jc w:val="left"/>
              <w:rPr/>
            </w:pPr>
            <w:r>
              <w:rPr/>
              <w:t> </w:t>
            </w:r>
          </w:p>
        </w:tc>
      </w:tr>
      <w:tr>
        <w:trPr/>
        <w:tc>
          <w:tcPr>
            <w:tcW w:w="7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3.3</w:t>
            </w:r>
          </w:p>
        </w:tc>
        <w:tc>
          <w:tcPr>
            <w:tcW w:w="9495" w:type="dxa"/>
            <w:tcBorders/>
            <w:vAlign w:val="center"/>
          </w:tcPr>
          <w:p>
            <w:pPr>
              <w:pStyle w:val="TableContents"/>
              <w:bidi w:val="0"/>
              <w:spacing w:before="0" w:after="0"/>
              <w:ind w:left="0" w:right="0" w:hanging="0"/>
              <w:jc w:val="both"/>
              <w:rPr/>
            </w:pPr>
            <w:hyperlink r:id="rId10">
              <w:r>
                <w:rPr>
                  <w:rStyle w:val="InternetLink"/>
                  <w:rFonts w:ascii="Times New Roman" w:hAnsi="Times New Roman"/>
                  <w:caps w:val="false"/>
                  <w:smallCaps w:val="false"/>
                  <w:sz w:val="20"/>
                </w:rPr>
                <w:t>Certificate of Correction of Certificate of Amendment to the Amended and Restated Certificate of Incorporation (previously filed as Exhibit 3.2 to the Registrant’s Current Report on Form 8-K filed on April 30, 2021 and incorporated herein by reference).</w:t>
              </w:r>
            </w:hyperlink>
          </w:p>
        </w:tc>
      </w:tr>
      <w:tr>
        <w:trPr/>
        <w:tc>
          <w:tcPr>
            <w:tcW w:w="710" w:type="dxa"/>
            <w:tcBorders/>
            <w:vAlign w:val="center"/>
          </w:tcPr>
          <w:p>
            <w:pPr>
              <w:pStyle w:val="TableContents"/>
              <w:bidi w:val="0"/>
              <w:spacing w:before="0" w:after="283"/>
              <w:jc w:val="left"/>
              <w:rPr/>
            </w:pPr>
            <w:r>
              <w:rPr/>
              <w:t> </w:t>
            </w:r>
          </w:p>
        </w:tc>
        <w:tc>
          <w:tcPr>
            <w:tcW w:w="9495" w:type="dxa"/>
            <w:tcBorders/>
            <w:vAlign w:val="center"/>
          </w:tcPr>
          <w:p>
            <w:pPr>
              <w:pStyle w:val="TableContents"/>
              <w:bidi w:val="0"/>
              <w:spacing w:before="0" w:after="283"/>
              <w:jc w:val="left"/>
              <w:rPr/>
            </w:pPr>
            <w:r>
              <w:rPr/>
              <w:t> </w:t>
            </w:r>
          </w:p>
        </w:tc>
      </w:tr>
      <w:tr>
        <w:trPr/>
        <w:tc>
          <w:tcPr>
            <w:tcW w:w="7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3.4</w:t>
            </w:r>
          </w:p>
        </w:tc>
        <w:tc>
          <w:tcPr>
            <w:tcW w:w="9495" w:type="dxa"/>
            <w:tcBorders/>
            <w:vAlign w:val="center"/>
          </w:tcPr>
          <w:p>
            <w:pPr>
              <w:pStyle w:val="TableContents"/>
              <w:bidi w:val="0"/>
              <w:spacing w:before="0" w:after="0"/>
              <w:ind w:left="0" w:right="0" w:hanging="0"/>
              <w:jc w:val="both"/>
              <w:rPr/>
            </w:pPr>
            <w:hyperlink r:id="rId11">
              <w:r>
                <w:rPr>
                  <w:rStyle w:val="InternetLink"/>
                  <w:rFonts w:ascii="Times New Roman" w:hAnsi="Times New Roman"/>
                  <w:caps w:val="false"/>
                  <w:smallCaps w:val="false"/>
                  <w:sz w:val="20"/>
                </w:rPr>
                <w:t>Third Amended and Restated Bylaws (previously filed as Exhibit 3.1 to the Registrant’s Current Report on Form 8-K filed on June 1, 2022 and incorporated herein by reference).</w:t>
              </w:r>
            </w:hyperlink>
          </w:p>
        </w:tc>
      </w:tr>
      <w:tr>
        <w:trPr/>
        <w:tc>
          <w:tcPr>
            <w:tcW w:w="710" w:type="dxa"/>
            <w:tcBorders/>
            <w:vAlign w:val="center"/>
          </w:tcPr>
          <w:p>
            <w:pPr>
              <w:pStyle w:val="TableContents"/>
              <w:bidi w:val="0"/>
              <w:spacing w:before="0" w:after="283"/>
              <w:jc w:val="left"/>
              <w:rPr/>
            </w:pPr>
            <w:r>
              <w:rPr/>
              <w:t> </w:t>
            </w:r>
          </w:p>
        </w:tc>
        <w:tc>
          <w:tcPr>
            <w:tcW w:w="9495" w:type="dxa"/>
            <w:tcBorders/>
            <w:vAlign w:val="center"/>
          </w:tcPr>
          <w:p>
            <w:pPr>
              <w:pStyle w:val="TableContents"/>
              <w:bidi w:val="0"/>
              <w:spacing w:before="0" w:after="283"/>
              <w:jc w:val="left"/>
              <w:rPr/>
            </w:pPr>
            <w:r>
              <w:rPr/>
              <w:t> </w:t>
            </w:r>
          </w:p>
        </w:tc>
      </w:tr>
      <w:tr>
        <w:trPr/>
        <w:tc>
          <w:tcPr>
            <w:tcW w:w="7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4.1</w:t>
            </w:r>
          </w:p>
        </w:tc>
        <w:tc>
          <w:tcPr>
            <w:tcW w:w="9495" w:type="dxa"/>
            <w:tcBorders/>
            <w:vAlign w:val="center"/>
          </w:tcPr>
          <w:p>
            <w:pPr>
              <w:pStyle w:val="TableContents"/>
              <w:bidi w:val="0"/>
              <w:spacing w:before="0" w:after="0"/>
              <w:ind w:left="0" w:right="0" w:hanging="0"/>
              <w:jc w:val="both"/>
              <w:rPr/>
            </w:pPr>
            <w:hyperlink r:id="rId12">
              <w:r>
                <w:rPr>
                  <w:rStyle w:val="InternetLink"/>
                  <w:rFonts w:ascii="Times New Roman" w:hAnsi="Times New Roman"/>
                  <w:caps w:val="false"/>
                  <w:smallCaps w:val="false"/>
                  <w:sz w:val="20"/>
                </w:rPr>
                <w:t>Form of Common Stock Certificate (previously filed as Exhibit 4.1 to the Registrant’s Registration Statement on Form S-1/A (File No. 333-231381) filed on May 24, 2019 and incorporated herein by reference).</w:t>
              </w:r>
            </w:hyperlink>
          </w:p>
        </w:tc>
      </w:tr>
      <w:tr>
        <w:trPr/>
        <w:tc>
          <w:tcPr>
            <w:tcW w:w="710" w:type="dxa"/>
            <w:tcBorders/>
            <w:vAlign w:val="center"/>
          </w:tcPr>
          <w:p>
            <w:pPr>
              <w:pStyle w:val="TableContents"/>
              <w:bidi w:val="0"/>
              <w:spacing w:before="0" w:after="283"/>
              <w:jc w:val="left"/>
              <w:rPr/>
            </w:pPr>
            <w:r>
              <w:rPr/>
              <w:t> </w:t>
            </w:r>
          </w:p>
        </w:tc>
        <w:tc>
          <w:tcPr>
            <w:tcW w:w="9495" w:type="dxa"/>
            <w:tcBorders/>
            <w:vAlign w:val="center"/>
          </w:tcPr>
          <w:p>
            <w:pPr>
              <w:pStyle w:val="TableContents"/>
              <w:bidi w:val="0"/>
              <w:spacing w:before="0" w:after="283"/>
              <w:jc w:val="left"/>
              <w:rPr/>
            </w:pPr>
            <w:r>
              <w:rPr/>
              <w:t> </w:t>
            </w:r>
          </w:p>
        </w:tc>
      </w:tr>
      <w:tr>
        <w:trPr/>
        <w:tc>
          <w:tcPr>
            <w:tcW w:w="7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4.2</w:t>
            </w:r>
          </w:p>
        </w:tc>
        <w:tc>
          <w:tcPr>
            <w:tcW w:w="9495" w:type="dxa"/>
            <w:tcBorders/>
            <w:vAlign w:val="center"/>
          </w:tcPr>
          <w:p>
            <w:pPr>
              <w:pStyle w:val="TableContents"/>
              <w:bidi w:val="0"/>
              <w:spacing w:before="0" w:after="0"/>
              <w:ind w:left="0" w:right="0" w:hanging="0"/>
              <w:jc w:val="both"/>
              <w:rPr/>
            </w:pPr>
            <w:hyperlink r:id="rId13">
              <w:r>
                <w:rPr>
                  <w:rStyle w:val="InternetLink"/>
                  <w:rFonts w:ascii="Times New Roman" w:hAnsi="Times New Roman"/>
                  <w:caps w:val="false"/>
                  <w:smallCaps w:val="false"/>
                  <w:sz w:val="20"/>
                </w:rPr>
                <w:t>Amended and Restated Aterian, Inc. 2018 Equity Incentive Plan (previously filed as Exhibit 10.3 to Registrant’s Registration Statement on Form S-8 filed on May 28, 2019 and incorporated herein by reference).</w:t>
              </w:r>
            </w:hyperlink>
          </w:p>
        </w:tc>
      </w:tr>
      <w:tr>
        <w:trPr/>
        <w:tc>
          <w:tcPr>
            <w:tcW w:w="710" w:type="dxa"/>
            <w:tcBorders/>
            <w:vAlign w:val="center"/>
          </w:tcPr>
          <w:p>
            <w:pPr>
              <w:pStyle w:val="TableContents"/>
              <w:bidi w:val="0"/>
              <w:spacing w:before="0" w:after="283"/>
              <w:jc w:val="left"/>
              <w:rPr/>
            </w:pPr>
            <w:r>
              <w:rPr/>
              <w:t> </w:t>
            </w:r>
          </w:p>
        </w:tc>
        <w:tc>
          <w:tcPr>
            <w:tcW w:w="9495" w:type="dxa"/>
            <w:tcBorders/>
            <w:vAlign w:val="center"/>
          </w:tcPr>
          <w:p>
            <w:pPr>
              <w:pStyle w:val="TableContents"/>
              <w:bidi w:val="0"/>
              <w:spacing w:before="0" w:after="283"/>
              <w:jc w:val="left"/>
              <w:rPr/>
            </w:pPr>
            <w:r>
              <w:rPr/>
              <w:t> </w:t>
            </w:r>
          </w:p>
        </w:tc>
      </w:tr>
      <w:tr>
        <w:trPr/>
        <w:tc>
          <w:tcPr>
            <w:tcW w:w="7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4.3</w:t>
            </w:r>
          </w:p>
        </w:tc>
        <w:tc>
          <w:tcPr>
            <w:tcW w:w="9495" w:type="dxa"/>
            <w:tcBorders/>
            <w:vAlign w:val="center"/>
          </w:tcPr>
          <w:p>
            <w:pPr>
              <w:pStyle w:val="TableContents"/>
              <w:bidi w:val="0"/>
              <w:spacing w:before="0" w:after="0"/>
              <w:ind w:left="0" w:right="0" w:hanging="0"/>
              <w:jc w:val="both"/>
              <w:rPr/>
            </w:pPr>
            <w:hyperlink r:id="rId14">
              <w:r>
                <w:rPr>
                  <w:rStyle w:val="InternetLink"/>
                  <w:rFonts w:ascii="Times New Roman" w:hAnsi="Times New Roman"/>
                  <w:caps w:val="false"/>
                  <w:smallCaps w:val="false"/>
                  <w:sz w:val="20"/>
                </w:rPr>
                <w:t>Form of Stock Option Agreement under the Mohawk Group Holdings, Inc. 2018 Equity Incentive Plan (previously filed as Exhibit 10.17 to the Registrant’s Registration Statement on Form S-1 (File No. 333-231381) filed on May 10, 2019 and incorporated herein by reference).</w:t>
              </w:r>
            </w:hyperlink>
          </w:p>
        </w:tc>
      </w:tr>
      <w:tr>
        <w:trPr/>
        <w:tc>
          <w:tcPr>
            <w:tcW w:w="710" w:type="dxa"/>
            <w:tcBorders/>
            <w:vAlign w:val="center"/>
          </w:tcPr>
          <w:p>
            <w:pPr>
              <w:pStyle w:val="TableContents"/>
              <w:bidi w:val="0"/>
              <w:spacing w:before="0" w:after="283"/>
              <w:jc w:val="left"/>
              <w:rPr/>
            </w:pPr>
            <w:r>
              <w:rPr/>
              <w:t> </w:t>
            </w:r>
          </w:p>
        </w:tc>
        <w:tc>
          <w:tcPr>
            <w:tcW w:w="9495" w:type="dxa"/>
            <w:tcBorders/>
            <w:vAlign w:val="center"/>
          </w:tcPr>
          <w:p>
            <w:pPr>
              <w:pStyle w:val="TableContents"/>
              <w:bidi w:val="0"/>
              <w:spacing w:before="0" w:after="283"/>
              <w:jc w:val="left"/>
              <w:rPr/>
            </w:pPr>
            <w:r>
              <w:rPr/>
              <w:t> </w:t>
            </w:r>
          </w:p>
        </w:tc>
      </w:tr>
      <w:tr>
        <w:trPr/>
        <w:tc>
          <w:tcPr>
            <w:tcW w:w="7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4.4</w:t>
            </w:r>
          </w:p>
        </w:tc>
        <w:tc>
          <w:tcPr>
            <w:tcW w:w="9495" w:type="dxa"/>
            <w:tcBorders/>
            <w:vAlign w:val="center"/>
          </w:tcPr>
          <w:p>
            <w:pPr>
              <w:pStyle w:val="TableContents"/>
              <w:bidi w:val="0"/>
              <w:spacing w:before="0" w:after="0"/>
              <w:ind w:left="0" w:right="0" w:hanging="0"/>
              <w:jc w:val="both"/>
              <w:rPr/>
            </w:pPr>
            <w:hyperlink r:id="rId15">
              <w:r>
                <w:rPr>
                  <w:rStyle w:val="InternetLink"/>
                  <w:rFonts w:ascii="Times New Roman" w:hAnsi="Times New Roman"/>
                  <w:caps w:val="false"/>
                  <w:smallCaps w:val="false"/>
                  <w:sz w:val="20"/>
                </w:rPr>
                <w:t>Form of Restricted Stock Award Agreement under the Mohawk Group Holdings, Inc. 2018 Equity Incentive Plan (previously filed as Exhibit 10.4 to the Registrant’s Registration Statement on Form S-8 filed on June 13, 2019 and incorporated herein by reference).</w:t>
              </w:r>
            </w:hyperlink>
          </w:p>
        </w:tc>
      </w:tr>
      <w:tr>
        <w:trPr/>
        <w:tc>
          <w:tcPr>
            <w:tcW w:w="710" w:type="dxa"/>
            <w:tcBorders/>
            <w:vAlign w:val="center"/>
          </w:tcPr>
          <w:p>
            <w:pPr>
              <w:pStyle w:val="TableContents"/>
              <w:bidi w:val="0"/>
              <w:spacing w:before="0" w:after="283"/>
              <w:jc w:val="left"/>
              <w:rPr/>
            </w:pPr>
            <w:r>
              <w:rPr/>
              <w:t> </w:t>
            </w:r>
          </w:p>
        </w:tc>
        <w:tc>
          <w:tcPr>
            <w:tcW w:w="9495" w:type="dxa"/>
            <w:tcBorders/>
            <w:vAlign w:val="center"/>
          </w:tcPr>
          <w:p>
            <w:pPr>
              <w:pStyle w:val="TableContents"/>
              <w:bidi w:val="0"/>
              <w:spacing w:before="0" w:after="283"/>
              <w:jc w:val="left"/>
              <w:rPr/>
            </w:pPr>
            <w:r>
              <w:rPr/>
              <w:t> </w:t>
            </w:r>
          </w:p>
        </w:tc>
      </w:tr>
      <w:tr>
        <w:trPr/>
        <w:tc>
          <w:tcPr>
            <w:tcW w:w="7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5.1*</w:t>
            </w:r>
          </w:p>
        </w:tc>
        <w:tc>
          <w:tcPr>
            <w:tcW w:w="9495" w:type="dxa"/>
            <w:tcBorders/>
            <w:vAlign w:val="center"/>
          </w:tcPr>
          <w:p>
            <w:pPr>
              <w:pStyle w:val="TableContents"/>
              <w:bidi w:val="0"/>
              <w:spacing w:before="0" w:after="283"/>
              <w:jc w:val="left"/>
              <w:rPr/>
            </w:pPr>
            <w:hyperlink w:anchor="ex_965164.htm">
              <w:r>
                <w:rPr>
                  <w:rStyle w:val="InternetLink"/>
                </w:rPr>
                <w:t>Opinion of Paul Hastings LLP.</w:t>
              </w:r>
            </w:hyperlink>
          </w:p>
        </w:tc>
      </w:tr>
      <w:tr>
        <w:trPr/>
        <w:tc>
          <w:tcPr>
            <w:tcW w:w="710" w:type="dxa"/>
            <w:tcBorders/>
            <w:vAlign w:val="center"/>
          </w:tcPr>
          <w:p>
            <w:pPr>
              <w:pStyle w:val="TableContents"/>
              <w:bidi w:val="0"/>
              <w:spacing w:before="0" w:after="283"/>
              <w:jc w:val="left"/>
              <w:rPr/>
            </w:pPr>
            <w:r>
              <w:rPr/>
              <w:t> </w:t>
            </w:r>
          </w:p>
        </w:tc>
        <w:tc>
          <w:tcPr>
            <w:tcW w:w="9495" w:type="dxa"/>
            <w:tcBorders/>
            <w:vAlign w:val="center"/>
          </w:tcPr>
          <w:p>
            <w:pPr>
              <w:pStyle w:val="TableContents"/>
              <w:bidi w:val="0"/>
              <w:spacing w:before="0" w:after="283"/>
              <w:jc w:val="left"/>
              <w:rPr/>
            </w:pPr>
            <w:r>
              <w:rPr/>
              <w:t> </w:t>
            </w:r>
          </w:p>
        </w:tc>
      </w:tr>
      <w:tr>
        <w:trPr/>
        <w:tc>
          <w:tcPr>
            <w:tcW w:w="7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23.1*</w:t>
            </w:r>
          </w:p>
        </w:tc>
        <w:tc>
          <w:tcPr>
            <w:tcW w:w="9495" w:type="dxa"/>
            <w:tcBorders/>
            <w:vAlign w:val="center"/>
          </w:tcPr>
          <w:p>
            <w:pPr>
              <w:pStyle w:val="TableContents"/>
              <w:bidi w:val="0"/>
              <w:spacing w:before="0" w:after="0"/>
              <w:ind w:left="0" w:right="0" w:hanging="0"/>
              <w:jc w:val="both"/>
              <w:rPr/>
            </w:pPr>
            <w:hyperlink w:anchor="ex_965165.htm">
              <w:r>
                <w:rPr>
                  <w:rStyle w:val="InternetLink"/>
                  <w:rFonts w:ascii="Times New Roman" w:hAnsi="Times New Roman"/>
                  <w:caps w:val="false"/>
                  <w:smallCaps w:val="false"/>
                  <w:sz w:val="20"/>
                </w:rPr>
                <w:t>Consent of UHY LLP, Independent Registered Public Accounting Firm.</w:t>
              </w:r>
            </w:hyperlink>
          </w:p>
        </w:tc>
      </w:tr>
      <w:tr>
        <w:trPr/>
        <w:tc>
          <w:tcPr>
            <w:tcW w:w="710" w:type="dxa"/>
            <w:tcBorders/>
            <w:vAlign w:val="center"/>
          </w:tcPr>
          <w:p>
            <w:pPr>
              <w:pStyle w:val="TableContents"/>
              <w:bidi w:val="0"/>
              <w:spacing w:before="0" w:after="283"/>
              <w:jc w:val="left"/>
              <w:rPr/>
            </w:pPr>
            <w:r>
              <w:rPr/>
              <w:t> </w:t>
            </w:r>
          </w:p>
        </w:tc>
        <w:tc>
          <w:tcPr>
            <w:tcW w:w="9495" w:type="dxa"/>
            <w:tcBorders/>
            <w:vAlign w:val="center"/>
          </w:tcPr>
          <w:p>
            <w:pPr>
              <w:pStyle w:val="TableContents"/>
              <w:bidi w:val="0"/>
              <w:spacing w:before="0" w:after="283"/>
              <w:jc w:val="left"/>
              <w:rPr/>
            </w:pPr>
            <w:r>
              <w:rPr/>
              <w:t> </w:t>
            </w:r>
          </w:p>
        </w:tc>
      </w:tr>
      <w:tr>
        <w:trPr/>
        <w:tc>
          <w:tcPr>
            <w:tcW w:w="7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23.2*</w:t>
            </w:r>
          </w:p>
        </w:tc>
        <w:tc>
          <w:tcPr>
            <w:tcW w:w="9495" w:type="dxa"/>
            <w:tcBorders/>
            <w:vAlign w:val="center"/>
          </w:tcPr>
          <w:p>
            <w:pPr>
              <w:pStyle w:val="TableContents"/>
              <w:bidi w:val="0"/>
              <w:spacing w:before="0" w:after="283"/>
              <w:jc w:val="left"/>
              <w:rPr/>
            </w:pPr>
            <w:hyperlink w:anchor="ex_965164.htm">
              <w:r>
                <w:rPr>
                  <w:rStyle w:val="InternetLink"/>
                </w:rPr>
                <w:t>Consent of Paul Hastings LLP (included in Exhibit 5.1).</w:t>
              </w:r>
            </w:hyperlink>
          </w:p>
        </w:tc>
      </w:tr>
      <w:tr>
        <w:trPr/>
        <w:tc>
          <w:tcPr>
            <w:tcW w:w="710" w:type="dxa"/>
            <w:tcBorders/>
            <w:vAlign w:val="center"/>
          </w:tcPr>
          <w:p>
            <w:pPr>
              <w:pStyle w:val="TableContents"/>
              <w:bidi w:val="0"/>
              <w:spacing w:before="0" w:after="283"/>
              <w:jc w:val="left"/>
              <w:rPr/>
            </w:pPr>
            <w:r>
              <w:rPr/>
              <w:t> </w:t>
            </w:r>
          </w:p>
        </w:tc>
        <w:tc>
          <w:tcPr>
            <w:tcW w:w="9495" w:type="dxa"/>
            <w:tcBorders/>
            <w:vAlign w:val="center"/>
          </w:tcPr>
          <w:p>
            <w:pPr>
              <w:pStyle w:val="TableContents"/>
              <w:bidi w:val="0"/>
              <w:spacing w:before="0" w:after="283"/>
              <w:jc w:val="left"/>
              <w:rPr/>
            </w:pPr>
            <w:r>
              <w:rPr/>
              <w:t> </w:t>
            </w:r>
          </w:p>
        </w:tc>
      </w:tr>
      <w:tr>
        <w:trPr/>
        <w:tc>
          <w:tcPr>
            <w:tcW w:w="7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24.1*</w:t>
            </w:r>
          </w:p>
        </w:tc>
        <w:tc>
          <w:tcPr>
            <w:tcW w:w="9495" w:type="dxa"/>
            <w:tcBorders/>
            <w:vAlign w:val="center"/>
          </w:tcPr>
          <w:p>
            <w:pPr>
              <w:pStyle w:val="TableContents"/>
              <w:bidi w:val="0"/>
              <w:spacing w:before="0" w:after="0"/>
              <w:ind w:left="0" w:right="0" w:hanging="0"/>
              <w:jc w:val="both"/>
              <w:rPr/>
            </w:pPr>
            <w:hyperlink w:anchor="poa">
              <w:r>
                <w:rPr>
                  <w:rStyle w:val="InternetLink"/>
                  <w:rFonts w:ascii="Times New Roman" w:hAnsi="Times New Roman"/>
                  <w:caps w:val="false"/>
                  <w:smallCaps w:val="false"/>
                  <w:sz w:val="20"/>
                </w:rPr>
                <w:t>Power of Attorney is contained on the signature page.</w:t>
              </w:r>
            </w:hyperlink>
          </w:p>
        </w:tc>
      </w:tr>
      <w:tr>
        <w:trPr/>
        <w:tc>
          <w:tcPr>
            <w:tcW w:w="710" w:type="dxa"/>
            <w:tcBorders/>
            <w:vAlign w:val="center"/>
          </w:tcPr>
          <w:p>
            <w:pPr>
              <w:pStyle w:val="TableContents"/>
              <w:bidi w:val="0"/>
              <w:spacing w:before="0" w:after="283"/>
              <w:jc w:val="center"/>
              <w:rPr/>
            </w:pPr>
            <w:r>
              <w:rPr/>
              <w:t> </w:t>
            </w:r>
          </w:p>
        </w:tc>
        <w:tc>
          <w:tcPr>
            <w:tcW w:w="9495" w:type="dxa"/>
            <w:tcBorders/>
            <w:vAlign w:val="center"/>
          </w:tcPr>
          <w:p>
            <w:pPr>
              <w:pStyle w:val="TableContents"/>
              <w:bidi w:val="0"/>
              <w:spacing w:before="0" w:after="283"/>
              <w:jc w:val="left"/>
              <w:rPr/>
            </w:pPr>
            <w:r>
              <w:rPr/>
              <w:t> </w:t>
            </w:r>
          </w:p>
        </w:tc>
      </w:tr>
      <w:tr>
        <w:trPr/>
        <w:tc>
          <w:tcPr>
            <w:tcW w:w="7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107*</w:t>
            </w:r>
          </w:p>
        </w:tc>
        <w:tc>
          <w:tcPr>
            <w:tcW w:w="9495" w:type="dxa"/>
            <w:tcBorders/>
            <w:vAlign w:val="center"/>
          </w:tcPr>
          <w:p>
            <w:pPr>
              <w:pStyle w:val="TableContents"/>
              <w:bidi w:val="0"/>
              <w:spacing w:before="0" w:after="0"/>
              <w:ind w:left="0" w:right="0" w:hanging="0"/>
              <w:jc w:val="both"/>
              <w:rPr/>
            </w:pPr>
            <w:hyperlink w:anchor="ex_965167.htm">
              <w:r>
                <w:rPr>
                  <w:rStyle w:val="InternetLink"/>
                  <w:rFonts w:ascii="Times New Roman" w:hAnsi="Times New Roman"/>
                  <w:caps w:val="false"/>
                  <w:smallCaps w:val="false"/>
                  <w:sz w:val="20"/>
                </w:rPr>
                <w:t>Calculation of Filing Fee Table.</w:t>
              </w:r>
            </w:hyperlink>
          </w:p>
        </w:tc>
      </w:tr>
    </w:tbl>
    <w:p>
      <w:pPr>
        <w:pStyle w:val="TextBody"/>
        <w:bidi w:val="0"/>
        <w:spacing w:before="0" w:after="0"/>
        <w:ind w:left="0" w:right="0" w:hanging="0"/>
        <w:jc w:val="left"/>
        <w:rPr>
          <w:caps w:val="false"/>
          <w:smallCaps w:val="false"/>
        </w:rPr>
      </w:pPr>
      <w:r>
        <w:rPr>
          <w:caps w:val="false"/>
          <w:smallCaps w:val="false"/>
        </w:rPr>
        <w:t> </w:t>
      </w:r>
    </w:p>
    <w:tbl>
      <w:tblPr>
        <w:tblW w:w="1315" w:type="dxa"/>
        <w:jc w:val="left"/>
        <w:tblInd w:w="0" w:type="dxa"/>
        <w:tblLayout w:type="fixed"/>
        <w:tblCellMar>
          <w:top w:w="0" w:type="dxa"/>
          <w:left w:w="0" w:type="dxa"/>
          <w:bottom w:w="0" w:type="dxa"/>
          <w:right w:w="0" w:type="dxa"/>
        </w:tblCellMar>
      </w:tblPr>
      <w:tblGrid>
        <w:gridCol w:w="125"/>
        <w:gridCol w:w="1190"/>
      </w:tblGrid>
      <w:tr>
        <w:trPr/>
        <w:tc>
          <w:tcPr>
            <w:tcW w:w="12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w:t>
            </w:r>
          </w:p>
        </w:tc>
        <w:tc>
          <w:tcPr>
            <w:tcW w:w="11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Filed herewith</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on May 20, 2026.</w:t>
      </w:r>
    </w:p>
    <w:p>
      <w:pPr>
        <w:pStyle w:val="TextBody"/>
        <w:bidi w:val="0"/>
        <w:spacing w:before="0" w:after="0"/>
        <w:ind w:left="0" w:right="0" w:hanging="0"/>
        <w:jc w:val="left"/>
        <w:rPr>
          <w:caps w:val="false"/>
          <w:smallCaps w:val="false"/>
        </w:rPr>
      </w:pPr>
      <w:r>
        <w:rPr>
          <w:caps w:val="false"/>
          <w:smallCaps w:val="false"/>
        </w:rPr>
        <w:t> </w:t>
      </w:r>
    </w:p>
    <w:tbl>
      <w:tblPr>
        <w:tblW w:w="2545" w:type="dxa"/>
        <w:jc w:val="left"/>
        <w:tblInd w:w="0" w:type="dxa"/>
        <w:tblLayout w:type="fixed"/>
        <w:tblCellMar>
          <w:top w:w="0" w:type="dxa"/>
          <w:left w:w="0" w:type="dxa"/>
          <w:bottom w:w="0" w:type="dxa"/>
          <w:right w:w="0" w:type="dxa"/>
        </w:tblCellMar>
      </w:tblPr>
      <w:tblGrid>
        <w:gridCol w:w="545"/>
        <w:gridCol w:w="60"/>
        <w:gridCol w:w="1940"/>
      </w:tblGrid>
      <w:tr>
        <w:trPr/>
        <w:tc>
          <w:tcPr>
            <w:tcW w:w="5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40" w:type="dxa"/>
            <w:tcBorders/>
            <w:vAlign w:val="center"/>
          </w:tcPr>
          <w:p>
            <w:pPr>
              <w:pStyle w:val="TableContents"/>
              <w:bidi w:val="0"/>
              <w:spacing w:before="0" w:after="283"/>
              <w:jc w:val="left"/>
              <w:rPr/>
            </w:pPr>
            <w:r>
              <w:rPr/>
              <w:t> </w:t>
            </w:r>
          </w:p>
        </w:tc>
      </w:tr>
      <w:tr>
        <w:trPr/>
        <w:tc>
          <w:tcPr>
            <w:tcW w:w="2545" w:type="dxa"/>
            <w:gridSpan w:val="3"/>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Aterian, Inc.</w:t>
            </w:r>
          </w:p>
        </w:tc>
      </w:tr>
      <w:tr>
        <w:trPr/>
        <w:tc>
          <w:tcPr>
            <w:tcW w:w="545" w:type="dxa"/>
            <w:tcBorders/>
            <w:vAlign w:val="center"/>
          </w:tcPr>
          <w:p>
            <w:pPr>
              <w:pStyle w:val="TableContents"/>
              <w:bidi w:val="0"/>
              <w:spacing w:before="0" w:after="283"/>
              <w:jc w:val="left"/>
              <w:rPr/>
            </w:pPr>
            <w:r>
              <w:rPr/>
              <w:t> </w:t>
            </w:r>
          </w:p>
        </w:tc>
        <w:tc>
          <w:tcPr>
            <w:tcW w:w="2000" w:type="dxa"/>
            <w:gridSpan w:val="2"/>
            <w:tcBorders/>
            <w:vAlign w:val="center"/>
          </w:tcPr>
          <w:p>
            <w:pPr>
              <w:pStyle w:val="TableContents"/>
              <w:bidi w:val="0"/>
              <w:spacing w:before="0" w:after="283"/>
              <w:jc w:val="left"/>
              <w:rPr/>
            </w:pPr>
            <w:r>
              <w:rPr/>
              <w:t> </w:t>
            </w:r>
          </w:p>
        </w:tc>
      </w:tr>
      <w:tr>
        <w:trPr/>
        <w:tc>
          <w:tcPr>
            <w:tcW w:w="5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60" w:type="dxa"/>
            <w:tcBorders/>
            <w:vAlign w:val="center"/>
          </w:tcPr>
          <w:p>
            <w:pPr>
              <w:pStyle w:val="TableContents"/>
              <w:bidi w:val="0"/>
              <w:spacing w:before="0" w:after="283"/>
              <w:jc w:val="left"/>
              <w:rPr/>
            </w:pPr>
            <w:r>
              <w:rPr/>
              <w:t> </w:t>
            </w:r>
          </w:p>
        </w:tc>
        <w:tc>
          <w:tcPr>
            <w:tcW w:w="194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Arturo Rodriguez</w:t>
            </w:r>
          </w:p>
        </w:tc>
      </w:tr>
      <w:tr>
        <w:trPr/>
        <w:tc>
          <w:tcPr>
            <w:tcW w:w="5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Name:</w:t>
            </w:r>
          </w:p>
        </w:tc>
        <w:tc>
          <w:tcPr>
            <w:tcW w:w="60" w:type="dxa"/>
            <w:tcBorders/>
            <w:vAlign w:val="center"/>
          </w:tcPr>
          <w:p>
            <w:pPr>
              <w:pStyle w:val="TableContents"/>
              <w:bidi w:val="0"/>
              <w:spacing w:before="0" w:after="283"/>
              <w:jc w:val="left"/>
              <w:rPr/>
            </w:pPr>
            <w:r>
              <w:rPr/>
              <w:t> </w:t>
            </w:r>
          </w:p>
        </w:tc>
        <w:tc>
          <w:tcPr>
            <w:tcW w:w="19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Arturo Rodriguez</w:t>
            </w:r>
          </w:p>
        </w:tc>
      </w:tr>
      <w:tr>
        <w:trPr/>
        <w:tc>
          <w:tcPr>
            <w:tcW w:w="5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Title:</w:t>
            </w:r>
          </w:p>
        </w:tc>
        <w:tc>
          <w:tcPr>
            <w:tcW w:w="60" w:type="dxa"/>
            <w:tcBorders/>
            <w:vAlign w:val="center"/>
          </w:tcPr>
          <w:p>
            <w:pPr>
              <w:pStyle w:val="TableContents"/>
              <w:bidi w:val="0"/>
              <w:spacing w:before="0" w:after="283"/>
              <w:jc w:val="left"/>
              <w:rPr/>
            </w:pPr>
            <w:r>
              <w:rPr/>
              <w:t> </w:t>
            </w:r>
          </w:p>
        </w:tc>
        <w:tc>
          <w:tcPr>
            <w:tcW w:w="19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bookmarkStart w:id="2" w:name="poa"/>
      <w:bookmarkEnd w:id="2"/>
      <w:r>
        <w:rPr>
          <w:rFonts w:ascii="Times New Roman" w:hAnsi="Times New Roman"/>
          <w:b/>
          <w:caps w:val="false"/>
          <w:smallCaps w:val="false"/>
          <w:sz w:val="20"/>
        </w:rPr>
        <w:t>POWER OF ATTORNEY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b/>
          <w:caps w:val="false"/>
          <w:smallCaps w:val="false"/>
          <w:sz w:val="20"/>
        </w:rPr>
        <w:t>KNOW</w:t>
      </w:r>
      <w:r>
        <w:rPr>
          <w:rFonts w:ascii="Times New Roman" w:hAnsi="Times New Roman"/>
          <w:caps w:val="false"/>
          <w:smallCaps w:val="false"/>
          <w:sz w:val="20"/>
        </w:rPr>
        <w:t> </w:t>
      </w:r>
      <w:r>
        <w:rPr>
          <w:rFonts w:ascii="Times New Roman" w:hAnsi="Times New Roman"/>
          <w:b/>
          <w:caps w:val="false"/>
          <w:smallCaps w:val="false"/>
          <w:sz w:val="20"/>
        </w:rPr>
        <w:t>ALL</w:t>
      </w:r>
      <w:r>
        <w:rPr>
          <w:rFonts w:ascii="Times New Roman" w:hAnsi="Times New Roman"/>
          <w:caps w:val="false"/>
          <w:smallCaps w:val="false"/>
          <w:sz w:val="20"/>
        </w:rPr>
        <w:t> </w:t>
      </w:r>
      <w:r>
        <w:rPr>
          <w:rFonts w:ascii="Times New Roman" w:hAnsi="Times New Roman"/>
          <w:b/>
          <w:caps w:val="false"/>
          <w:smallCaps w:val="false"/>
          <w:sz w:val="20"/>
        </w:rPr>
        <w:t>PERSONS</w:t>
      </w:r>
      <w:r>
        <w:rPr>
          <w:rFonts w:ascii="Times New Roman" w:hAnsi="Times New Roman"/>
          <w:caps w:val="false"/>
          <w:smallCaps w:val="false"/>
          <w:sz w:val="20"/>
        </w:rPr>
        <w:t> </w:t>
      </w:r>
      <w:r>
        <w:rPr>
          <w:rFonts w:ascii="Times New Roman" w:hAnsi="Times New Roman"/>
          <w:b/>
          <w:caps w:val="false"/>
          <w:smallCaps w:val="false"/>
          <w:sz w:val="20"/>
        </w:rPr>
        <w:t>BY</w:t>
      </w:r>
      <w:r>
        <w:rPr>
          <w:rFonts w:ascii="Times New Roman" w:hAnsi="Times New Roman"/>
          <w:caps w:val="false"/>
          <w:smallCaps w:val="false"/>
          <w:sz w:val="20"/>
        </w:rPr>
        <w:t> </w:t>
      </w:r>
      <w:r>
        <w:rPr>
          <w:rFonts w:ascii="Times New Roman" w:hAnsi="Times New Roman"/>
          <w:b/>
          <w:caps w:val="false"/>
          <w:smallCaps w:val="false"/>
          <w:sz w:val="20"/>
        </w:rPr>
        <w:t>THESE</w:t>
      </w:r>
      <w:r>
        <w:rPr>
          <w:rFonts w:ascii="Times New Roman" w:hAnsi="Times New Roman"/>
          <w:caps w:val="false"/>
          <w:smallCaps w:val="false"/>
          <w:sz w:val="20"/>
        </w:rPr>
        <w:t> </w:t>
      </w:r>
      <w:r>
        <w:rPr>
          <w:rFonts w:ascii="Times New Roman" w:hAnsi="Times New Roman"/>
          <w:b/>
          <w:caps w:val="false"/>
          <w:smallCaps w:val="false"/>
          <w:sz w:val="20"/>
        </w:rPr>
        <w:t>PRESENTS</w:t>
      </w:r>
      <w:r>
        <w:rPr>
          <w:rFonts w:ascii="Times New Roman" w:hAnsi="Times New Roman"/>
          <w:caps w:val="false"/>
          <w:smallCaps w:val="false"/>
          <w:sz w:val="20"/>
        </w:rPr>
        <w:t>, that each person whose signature appears below constitutes and appoints Arturo Rodriguez, and Joshua Feldman, and each or any one of them, as his or her true and lawful attorneys-in-fact and agent, with full power of substitution and resubstitution, for him or her and in his or her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their or his substitutes or substitute, may lawfully do or cause to be done by virtue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Pursuant to the requirements of the Securities Act of 1933, this Registration Statement has been signed by the following persons in the capacities and on the dates indicated.</w:t>
      </w:r>
    </w:p>
    <w:tbl>
      <w:tblPr>
        <w:tblW w:w="6795" w:type="dxa"/>
        <w:jc w:val="left"/>
        <w:tblInd w:w="0" w:type="dxa"/>
        <w:tblLayout w:type="fixed"/>
        <w:tblCellMar>
          <w:top w:w="0" w:type="dxa"/>
          <w:left w:w="0" w:type="dxa"/>
          <w:bottom w:w="0" w:type="dxa"/>
          <w:right w:w="0" w:type="dxa"/>
        </w:tblCellMar>
      </w:tblPr>
      <w:tblGrid>
        <w:gridCol w:w="1685"/>
        <w:gridCol w:w="60"/>
        <w:gridCol w:w="3635"/>
        <w:gridCol w:w="60"/>
        <w:gridCol w:w="1355"/>
      </w:tblGrid>
      <w:tr>
        <w:trPr/>
        <w:tc>
          <w:tcPr>
            <w:tcW w:w="16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tcBorders/>
            <w:vAlign w:val="center"/>
          </w:tcPr>
          <w:p>
            <w:pPr>
              <w:pStyle w:val="TableContents"/>
              <w:bidi w:val="0"/>
              <w:spacing w:before="0" w:after="283"/>
              <w:jc w:val="left"/>
              <w:rPr/>
            </w:pPr>
            <w:r>
              <w:rPr/>
              <w:t> </w:t>
            </w:r>
          </w:p>
        </w:tc>
      </w:tr>
      <w:tr>
        <w:trPr/>
        <w:tc>
          <w:tcPr>
            <w:tcW w:w="168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SIGNATURE</w:t>
            </w:r>
          </w:p>
        </w:tc>
        <w:tc>
          <w:tcPr>
            <w:tcW w:w="60" w:type="dxa"/>
            <w:tcBorders/>
            <w:vAlign w:val="center"/>
          </w:tcPr>
          <w:p>
            <w:pPr>
              <w:pStyle w:val="TableContents"/>
              <w:bidi w:val="0"/>
              <w:spacing w:before="0" w:after="283"/>
              <w:jc w:val="left"/>
              <w:rPr/>
            </w:pPr>
            <w:r>
              <w:rPr/>
              <w:t> </w:t>
            </w:r>
          </w:p>
        </w:tc>
        <w:tc>
          <w:tcPr>
            <w:tcW w:w="363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TITLE</w:t>
            </w:r>
          </w:p>
        </w:tc>
        <w:tc>
          <w:tcPr>
            <w:tcW w:w="60" w:type="dxa"/>
            <w:tcBorders/>
            <w:vAlign w:val="center"/>
          </w:tcPr>
          <w:p>
            <w:pPr>
              <w:pStyle w:val="TableContents"/>
              <w:bidi w:val="0"/>
              <w:spacing w:before="0" w:after="283"/>
              <w:jc w:val="left"/>
              <w:rPr/>
            </w:pPr>
            <w:r>
              <w:rPr/>
              <w:t> </w:t>
            </w:r>
          </w:p>
        </w:tc>
        <w:tc>
          <w:tcPr>
            <w:tcW w:w="135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DATE</w:t>
            </w:r>
          </w:p>
        </w:tc>
      </w:tr>
      <w:tr>
        <w:trPr/>
        <w:tc>
          <w:tcPr>
            <w:tcW w:w="16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tcBorders/>
            <w:vAlign w:val="center"/>
          </w:tcPr>
          <w:p>
            <w:pPr>
              <w:pStyle w:val="TableContents"/>
              <w:bidi w:val="0"/>
              <w:spacing w:before="0" w:after="283"/>
              <w:jc w:val="left"/>
              <w:rPr/>
            </w:pPr>
            <w:r>
              <w:rPr/>
              <w:t> </w:t>
            </w:r>
          </w:p>
        </w:tc>
      </w:tr>
      <w:tr>
        <w:trPr/>
        <w:tc>
          <w:tcPr>
            <w:tcW w:w="168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Arturo Rodriguez</w:t>
            </w:r>
          </w:p>
        </w:tc>
        <w:tc>
          <w:tcPr>
            <w:tcW w:w="6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Executive Officer and Director</w:t>
            </w:r>
          </w:p>
        </w:tc>
        <w:tc>
          <w:tcPr>
            <w:tcW w:w="60" w:type="dxa"/>
            <w:tcBorders/>
            <w:vAlign w:val="center"/>
          </w:tcPr>
          <w:p>
            <w:pPr>
              <w:pStyle w:val="TableContents"/>
              <w:bidi w:val="0"/>
              <w:spacing w:before="0" w:after="283"/>
              <w:jc w:val="left"/>
              <w:rPr/>
            </w:pPr>
            <w:r>
              <w:rPr/>
              <w:t> </w:t>
            </w:r>
          </w:p>
        </w:tc>
        <w:tc>
          <w:tcPr>
            <w:tcW w:w="1355" w:type="dxa"/>
            <w:tcBorders/>
            <w:vAlign w:val="center"/>
          </w:tcPr>
          <w:p>
            <w:pPr>
              <w:pStyle w:val="TableContents"/>
              <w:bidi w:val="0"/>
              <w:spacing w:before="0" w:after="283"/>
              <w:jc w:val="center"/>
              <w:rPr/>
            </w:pPr>
            <w:r>
              <w:rPr/>
              <w:t>May 20, 2026</w:t>
            </w:r>
          </w:p>
        </w:tc>
      </w:tr>
      <w:tr>
        <w:trPr/>
        <w:tc>
          <w:tcPr>
            <w:tcW w:w="16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Arturo Rodriguez</w:t>
            </w:r>
          </w:p>
        </w:tc>
        <w:tc>
          <w:tcPr>
            <w:tcW w:w="6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(Principal Executive Officer)</w:t>
            </w:r>
          </w:p>
        </w:tc>
        <w:tc>
          <w:tcPr>
            <w:tcW w:w="60" w:type="dxa"/>
            <w:tcBorders/>
            <w:vAlign w:val="center"/>
          </w:tcPr>
          <w:p>
            <w:pPr>
              <w:pStyle w:val="TableContents"/>
              <w:bidi w:val="0"/>
              <w:spacing w:before="0" w:after="283"/>
              <w:jc w:val="left"/>
              <w:rPr/>
            </w:pPr>
            <w:r>
              <w:rPr/>
              <w:t> </w:t>
            </w:r>
          </w:p>
        </w:tc>
        <w:tc>
          <w:tcPr>
            <w:tcW w:w="1355" w:type="dxa"/>
            <w:tcBorders/>
            <w:vAlign w:val="center"/>
          </w:tcPr>
          <w:p>
            <w:pPr>
              <w:pStyle w:val="TableContents"/>
              <w:bidi w:val="0"/>
              <w:spacing w:before="0" w:after="283"/>
              <w:jc w:val="left"/>
              <w:rPr/>
            </w:pPr>
            <w:r>
              <w:rPr/>
              <w:t> </w:t>
            </w:r>
          </w:p>
        </w:tc>
      </w:tr>
      <w:tr>
        <w:trPr/>
        <w:tc>
          <w:tcPr>
            <w:tcW w:w="16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tcBorders/>
            <w:vAlign w:val="center"/>
          </w:tcPr>
          <w:p>
            <w:pPr>
              <w:pStyle w:val="TableContents"/>
              <w:bidi w:val="0"/>
              <w:spacing w:before="0" w:after="283"/>
              <w:jc w:val="left"/>
              <w:rPr/>
            </w:pPr>
            <w:r>
              <w:rPr/>
              <w:t> </w:t>
            </w:r>
          </w:p>
        </w:tc>
      </w:tr>
      <w:tr>
        <w:trPr/>
        <w:tc>
          <w:tcPr>
            <w:tcW w:w="168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Joshua Feldman</w:t>
            </w:r>
          </w:p>
        </w:tc>
        <w:tc>
          <w:tcPr>
            <w:tcW w:w="6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Financial Officer</w:t>
            </w:r>
          </w:p>
        </w:tc>
        <w:tc>
          <w:tcPr>
            <w:tcW w:w="60" w:type="dxa"/>
            <w:tcBorders/>
            <w:vAlign w:val="center"/>
          </w:tcPr>
          <w:p>
            <w:pPr>
              <w:pStyle w:val="TableContents"/>
              <w:bidi w:val="0"/>
              <w:spacing w:before="0" w:after="283"/>
              <w:jc w:val="left"/>
              <w:rPr/>
            </w:pPr>
            <w:r>
              <w:rPr/>
              <w:t> </w:t>
            </w:r>
          </w:p>
        </w:tc>
        <w:tc>
          <w:tcPr>
            <w:tcW w:w="1355" w:type="dxa"/>
            <w:tcBorders/>
            <w:vAlign w:val="center"/>
          </w:tcPr>
          <w:p>
            <w:pPr>
              <w:pStyle w:val="TableContents"/>
              <w:bidi w:val="0"/>
              <w:spacing w:before="0" w:after="283"/>
              <w:jc w:val="center"/>
              <w:rPr/>
            </w:pPr>
            <w:r>
              <w:rPr/>
              <w:t>May 20, 2026</w:t>
            </w:r>
          </w:p>
        </w:tc>
      </w:tr>
      <w:tr>
        <w:trPr/>
        <w:tc>
          <w:tcPr>
            <w:tcW w:w="16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Joshua Feldman</w:t>
            </w:r>
          </w:p>
        </w:tc>
        <w:tc>
          <w:tcPr>
            <w:tcW w:w="6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(Principal Financial and Accounting Officer)</w:t>
            </w:r>
          </w:p>
        </w:tc>
        <w:tc>
          <w:tcPr>
            <w:tcW w:w="60" w:type="dxa"/>
            <w:tcBorders/>
            <w:vAlign w:val="center"/>
          </w:tcPr>
          <w:p>
            <w:pPr>
              <w:pStyle w:val="TableContents"/>
              <w:bidi w:val="0"/>
              <w:spacing w:before="0" w:after="283"/>
              <w:jc w:val="left"/>
              <w:rPr/>
            </w:pPr>
            <w:r>
              <w:rPr/>
              <w:t> </w:t>
            </w:r>
          </w:p>
        </w:tc>
        <w:tc>
          <w:tcPr>
            <w:tcW w:w="1355" w:type="dxa"/>
            <w:tcBorders/>
            <w:vAlign w:val="center"/>
          </w:tcPr>
          <w:p>
            <w:pPr>
              <w:pStyle w:val="TableContents"/>
              <w:bidi w:val="0"/>
              <w:spacing w:before="0" w:after="283"/>
              <w:jc w:val="left"/>
              <w:rPr/>
            </w:pPr>
            <w:r>
              <w:rPr/>
              <w:t> </w:t>
            </w:r>
          </w:p>
        </w:tc>
      </w:tr>
      <w:tr>
        <w:trPr/>
        <w:tc>
          <w:tcPr>
            <w:tcW w:w="16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tcBorders/>
            <w:vAlign w:val="center"/>
          </w:tcPr>
          <w:p>
            <w:pPr>
              <w:pStyle w:val="TableContents"/>
              <w:bidi w:val="0"/>
              <w:spacing w:before="0" w:after="283"/>
              <w:jc w:val="left"/>
              <w:rPr/>
            </w:pPr>
            <w:r>
              <w:rPr/>
              <w:t> </w:t>
            </w:r>
          </w:p>
        </w:tc>
      </w:tr>
      <w:tr>
        <w:trPr/>
        <w:tc>
          <w:tcPr>
            <w:tcW w:w="168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Bari Harlam</w:t>
            </w:r>
          </w:p>
        </w:tc>
        <w:tc>
          <w:tcPr>
            <w:tcW w:w="6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Director</w:t>
            </w:r>
          </w:p>
        </w:tc>
        <w:tc>
          <w:tcPr>
            <w:tcW w:w="60" w:type="dxa"/>
            <w:tcBorders/>
            <w:vAlign w:val="center"/>
          </w:tcPr>
          <w:p>
            <w:pPr>
              <w:pStyle w:val="TableContents"/>
              <w:bidi w:val="0"/>
              <w:spacing w:before="0" w:after="283"/>
              <w:jc w:val="left"/>
              <w:rPr/>
            </w:pPr>
            <w:r>
              <w:rPr/>
              <w:t> </w:t>
            </w:r>
          </w:p>
        </w:tc>
        <w:tc>
          <w:tcPr>
            <w:tcW w:w="1355" w:type="dxa"/>
            <w:tcBorders/>
            <w:vAlign w:val="center"/>
          </w:tcPr>
          <w:p>
            <w:pPr>
              <w:pStyle w:val="TableContents"/>
              <w:bidi w:val="0"/>
              <w:spacing w:before="0" w:after="283"/>
              <w:jc w:val="center"/>
              <w:rPr/>
            </w:pPr>
            <w:r>
              <w:rPr/>
              <w:t>May 20, 2026</w:t>
            </w:r>
          </w:p>
        </w:tc>
      </w:tr>
      <w:tr>
        <w:trPr/>
        <w:tc>
          <w:tcPr>
            <w:tcW w:w="16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Bari Harlam</w:t>
            </w:r>
          </w:p>
        </w:tc>
        <w:tc>
          <w:tcPr>
            <w:tcW w:w="6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tcBorders/>
            <w:vAlign w:val="center"/>
          </w:tcPr>
          <w:p>
            <w:pPr>
              <w:pStyle w:val="TableContents"/>
              <w:bidi w:val="0"/>
              <w:spacing w:before="0" w:after="283"/>
              <w:jc w:val="left"/>
              <w:rPr/>
            </w:pPr>
            <w:r>
              <w:rPr/>
              <w:t> </w:t>
            </w:r>
          </w:p>
        </w:tc>
      </w:tr>
      <w:tr>
        <w:trPr/>
        <w:tc>
          <w:tcPr>
            <w:tcW w:w="16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tcBorders/>
            <w:vAlign w:val="center"/>
          </w:tcPr>
          <w:p>
            <w:pPr>
              <w:pStyle w:val="TableContents"/>
              <w:bidi w:val="0"/>
              <w:spacing w:before="0" w:after="283"/>
              <w:jc w:val="left"/>
              <w:rPr/>
            </w:pPr>
            <w:r>
              <w:rPr/>
              <w:t> </w:t>
            </w:r>
          </w:p>
        </w:tc>
      </w:tr>
      <w:tr>
        <w:trPr/>
        <w:tc>
          <w:tcPr>
            <w:tcW w:w="168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William Kurtz</w:t>
            </w:r>
          </w:p>
        </w:tc>
        <w:tc>
          <w:tcPr>
            <w:tcW w:w="6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Director</w:t>
            </w:r>
          </w:p>
        </w:tc>
        <w:tc>
          <w:tcPr>
            <w:tcW w:w="60" w:type="dxa"/>
            <w:tcBorders/>
            <w:vAlign w:val="center"/>
          </w:tcPr>
          <w:p>
            <w:pPr>
              <w:pStyle w:val="TableContents"/>
              <w:bidi w:val="0"/>
              <w:spacing w:before="0" w:after="283"/>
              <w:jc w:val="left"/>
              <w:rPr/>
            </w:pPr>
            <w:r>
              <w:rPr/>
              <w:t> </w:t>
            </w:r>
          </w:p>
        </w:tc>
        <w:tc>
          <w:tcPr>
            <w:tcW w:w="1355" w:type="dxa"/>
            <w:tcBorders/>
            <w:vAlign w:val="center"/>
          </w:tcPr>
          <w:p>
            <w:pPr>
              <w:pStyle w:val="TableContents"/>
              <w:bidi w:val="0"/>
              <w:spacing w:before="0" w:after="283"/>
              <w:jc w:val="center"/>
              <w:rPr/>
            </w:pPr>
            <w:r>
              <w:rPr/>
              <w:t>May 20, 2026</w:t>
            </w:r>
          </w:p>
        </w:tc>
      </w:tr>
      <w:tr>
        <w:trPr/>
        <w:tc>
          <w:tcPr>
            <w:tcW w:w="16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William Kurtz</w:t>
            </w:r>
          </w:p>
        </w:tc>
        <w:tc>
          <w:tcPr>
            <w:tcW w:w="6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tcBorders/>
            <w:vAlign w:val="center"/>
          </w:tcPr>
          <w:p>
            <w:pPr>
              <w:pStyle w:val="TableContents"/>
              <w:bidi w:val="0"/>
              <w:spacing w:before="0" w:after="283"/>
              <w:jc w:val="left"/>
              <w:rPr/>
            </w:pPr>
            <w:r>
              <w:rPr/>
              <w:t> </w:t>
            </w:r>
          </w:p>
        </w:tc>
      </w:tr>
      <w:tr>
        <w:trPr/>
        <w:tc>
          <w:tcPr>
            <w:tcW w:w="16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tcBorders/>
            <w:vAlign w:val="center"/>
          </w:tcPr>
          <w:p>
            <w:pPr>
              <w:pStyle w:val="TableContents"/>
              <w:bidi w:val="0"/>
              <w:spacing w:before="0" w:after="283"/>
              <w:jc w:val="center"/>
              <w:rPr/>
            </w:pPr>
            <w:r>
              <w:rPr/>
              <w:t> </w:t>
            </w:r>
          </w:p>
        </w:tc>
      </w:tr>
      <w:tr>
        <w:trPr/>
        <w:tc>
          <w:tcPr>
            <w:tcW w:w="168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Susan Lattmann</w:t>
            </w:r>
          </w:p>
        </w:tc>
        <w:tc>
          <w:tcPr>
            <w:tcW w:w="6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Director</w:t>
            </w:r>
          </w:p>
        </w:tc>
        <w:tc>
          <w:tcPr>
            <w:tcW w:w="60" w:type="dxa"/>
            <w:tcBorders/>
            <w:vAlign w:val="center"/>
          </w:tcPr>
          <w:p>
            <w:pPr>
              <w:pStyle w:val="TableContents"/>
              <w:bidi w:val="0"/>
              <w:spacing w:before="0" w:after="283"/>
              <w:jc w:val="left"/>
              <w:rPr/>
            </w:pPr>
            <w:r>
              <w:rPr/>
              <w:t> </w:t>
            </w:r>
          </w:p>
        </w:tc>
        <w:tc>
          <w:tcPr>
            <w:tcW w:w="1355" w:type="dxa"/>
            <w:tcBorders/>
            <w:vAlign w:val="center"/>
          </w:tcPr>
          <w:p>
            <w:pPr>
              <w:pStyle w:val="TableContents"/>
              <w:bidi w:val="0"/>
              <w:spacing w:before="0" w:after="283"/>
              <w:jc w:val="center"/>
              <w:rPr/>
            </w:pPr>
            <w:r>
              <w:rPr/>
              <w:t>May 20, 2026</w:t>
            </w:r>
          </w:p>
        </w:tc>
      </w:tr>
      <w:tr>
        <w:trPr/>
        <w:tc>
          <w:tcPr>
            <w:tcW w:w="16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Susan Lattmann</w:t>
            </w:r>
          </w:p>
        </w:tc>
        <w:tc>
          <w:tcPr>
            <w:tcW w:w="6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tcBorders/>
            <w:vAlign w:val="center"/>
          </w:tcPr>
          <w:p>
            <w:pPr>
              <w:pStyle w:val="TableContents"/>
              <w:bidi w:val="0"/>
              <w:spacing w:before="0" w:after="283"/>
              <w:jc w:val="left"/>
              <w:rPr/>
            </w:pPr>
            <w:r>
              <w:rPr/>
              <w:t> </w:t>
            </w:r>
          </w:p>
        </w:tc>
      </w:tr>
      <w:tr>
        <w:trPr/>
        <w:tc>
          <w:tcPr>
            <w:tcW w:w="16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tcBorders/>
            <w:vAlign w:val="center"/>
          </w:tcPr>
          <w:p>
            <w:pPr>
              <w:pStyle w:val="TableContents"/>
              <w:bidi w:val="0"/>
              <w:spacing w:before="0" w:after="283"/>
              <w:jc w:val="left"/>
              <w:rPr/>
            </w:pPr>
            <w:r>
              <w:rPr/>
              <w:t> </w:t>
            </w:r>
          </w:p>
        </w:tc>
      </w:tr>
      <w:tr>
        <w:trPr/>
        <w:tc>
          <w:tcPr>
            <w:tcW w:w="168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David E. Lazar</w:t>
            </w:r>
          </w:p>
        </w:tc>
        <w:tc>
          <w:tcPr>
            <w:tcW w:w="6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Director</w:t>
            </w:r>
          </w:p>
        </w:tc>
        <w:tc>
          <w:tcPr>
            <w:tcW w:w="60" w:type="dxa"/>
            <w:tcBorders/>
            <w:vAlign w:val="center"/>
          </w:tcPr>
          <w:p>
            <w:pPr>
              <w:pStyle w:val="TableContents"/>
              <w:bidi w:val="0"/>
              <w:spacing w:before="0" w:after="283"/>
              <w:jc w:val="left"/>
              <w:rPr/>
            </w:pPr>
            <w:r>
              <w:rPr/>
              <w:t> </w:t>
            </w:r>
          </w:p>
        </w:tc>
        <w:tc>
          <w:tcPr>
            <w:tcW w:w="1355" w:type="dxa"/>
            <w:tcBorders/>
            <w:vAlign w:val="center"/>
          </w:tcPr>
          <w:p>
            <w:pPr>
              <w:pStyle w:val="TableContents"/>
              <w:bidi w:val="0"/>
              <w:spacing w:before="0" w:after="283"/>
              <w:jc w:val="center"/>
              <w:rPr/>
            </w:pPr>
            <w:r>
              <w:rPr/>
              <w:t>May 20, 2026</w:t>
            </w:r>
          </w:p>
        </w:tc>
      </w:tr>
      <w:tr>
        <w:trPr/>
        <w:tc>
          <w:tcPr>
            <w:tcW w:w="1685" w:type="dxa"/>
            <w:tcBorders/>
            <w:vAlign w:val="center"/>
          </w:tcPr>
          <w:p>
            <w:pPr>
              <w:pStyle w:val="TableContents"/>
              <w:bidi w:val="0"/>
              <w:spacing w:before="0" w:after="283"/>
              <w:jc w:val="left"/>
              <w:rPr/>
            </w:pPr>
            <w:r>
              <w:rPr/>
              <w:t>David E. Lazar</w:t>
            </w:r>
          </w:p>
        </w:tc>
        <w:tc>
          <w:tcPr>
            <w:tcW w:w="6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tcBorders/>
            <w:vAlign w:val="center"/>
          </w:tcPr>
          <w:p>
            <w:pPr>
              <w:pStyle w:val="TableContents"/>
              <w:bidi w:val="0"/>
              <w:spacing w:before="0" w:after="283"/>
              <w:jc w:val="left"/>
              <w:rPr/>
            </w:pPr>
            <w:r>
              <w:rPr/>
              <w:t> </w:t>
            </w:r>
          </w:p>
        </w:tc>
      </w:tr>
      <w:tr>
        <w:trPr/>
        <w:tc>
          <w:tcPr>
            <w:tcW w:w="16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b/>
          <w:sz w:val="20"/>
        </w:rPr>
      </w:pPr>
      <w:bookmarkStart w:id="3" w:name="ex_965164.htm"/>
      <w:bookmarkStart w:id="4" w:name="ksex_965164"/>
      <w:bookmarkEnd w:id="3"/>
      <w:bookmarkEnd w:id="4"/>
      <w:r>
        <w:rPr>
          <w:rFonts w:ascii="Times New Roman" w:hAnsi="Times New Roman"/>
          <w:b/>
          <w:sz w:val="20"/>
        </w:rPr>
        <w:t>Exhibit 5.1</w:t>
      </w:r>
      <w:r>
        <w:br w:type="page"/>
      </w:r>
    </w:p>
    <w:p>
      <w:pPr>
        <w:pStyle w:val="TextBody"/>
        <w:bidi w:val="0"/>
        <w:spacing w:before="0" w:after="0"/>
        <w:ind w:left="0" w:right="0" w:hanging="0"/>
        <w:jc w:val="left"/>
        <w:rPr/>
      </w:pPr>
      <w:r>
        <w:rPr/>
        <w:drawing>
          <wp:inline distT="0" distB="0" distL="0" distR="0">
            <wp:extent cx="1371600" cy="40259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16"/>
                    <a:stretch>
                      <a:fillRect/>
                    </a:stretch>
                  </pic:blipFill>
                  <pic:spPr bwMode="auto">
                    <a:xfrm>
                      <a:off x="0" y="0"/>
                      <a:ext cx="1371600" cy="402590"/>
                    </a:xfrm>
                    <a:prstGeom prst="rect">
                      <a:avLst/>
                    </a:prstGeom>
                  </pic:spPr>
                </pic:pic>
              </a:graphicData>
            </a:graphic>
          </wp:inline>
        </w:drawing>
      </w:r>
      <w:r>
        <w:rPr/>
        <w:t>     </w:t>
      </w:r>
    </w:p>
    <w:p>
      <w:pPr>
        <w:pStyle w:val="TextBody"/>
        <w:bidi w:val="0"/>
        <w:spacing w:before="0" w:after="0"/>
        <w:ind w:left="0" w:right="0" w:hanging="0"/>
        <w:jc w:val="left"/>
        <w:rPr/>
      </w:pPr>
      <w:r>
        <w:rPr/>
        <w:t> </w:t>
      </w:r>
    </w:p>
    <w:p>
      <w:pPr>
        <w:pStyle w:val="TextBody"/>
        <w:bidi w:val="0"/>
        <w:spacing w:before="0" w:after="0"/>
        <w:ind w:left="10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May 20,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Aterian, Inc.</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350 Springfield Ave., Suite 200</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Summit, NJ 07901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 Registration Statement on Form S-8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have acted as counsel to Aterian, Inc., a Delaware corporation (the “Company”), in connection with the preparation of the registration statement on Form S-8 to be filed by the Company with the U.S. Securities and Exchange Commission (the “Commission”) on or about the date hereof (the “Registration Statement”) to effect registration under the Securities Act of 1933, as amended (the “Securities Act”), of an aggregate of 1,898,733 shares (the “Shares”) of the Company’s common stock, $0.0001 par value per share (“Common Stock”), issuable upon the vesting and exercise of awards to be granted by the Company pursuant to the Aterian, Inc. Amended and Restated 2018 Equity Incentive Plan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As such counsel and for purposes of our opinion set forth below, we have examined and relied upon originals or copies, certified or otherwise identified to our satisfaction, of such documents, resolutions, certificates and instruments of the Company and corporate records furnished to us by the Company, and have reviewed certificates of public officials, statutes, records and such other instruments and documents as we have deemed necessary or appropriate as a basis for the opinion set forth below, including, without limitation:</w:t>
      </w:r>
    </w:p>
    <w:p>
      <w:pPr>
        <w:pStyle w:val="TextBody"/>
        <w:bidi w:val="0"/>
        <w:spacing w:before="0" w:after="0"/>
        <w:ind w:left="0" w:right="0" w:hanging="0"/>
        <w:jc w:val="left"/>
        <w:rPr>
          <w:caps w:val="false"/>
          <w:smallCaps w:val="false"/>
        </w:rPr>
      </w:pPr>
      <w:r>
        <w:rPr>
          <w:caps w:val="false"/>
          <w:smallCaps w:val="false"/>
        </w:rPr>
        <w:t> </w:t>
      </w:r>
    </w:p>
    <w:tbl>
      <w:tblPr>
        <w:tblW w:w="2500" w:type="dxa"/>
        <w:jc w:val="left"/>
        <w:tblInd w:w="0" w:type="dxa"/>
        <w:tblLayout w:type="fixed"/>
        <w:tblCellMar>
          <w:top w:w="0" w:type="dxa"/>
          <w:left w:w="0" w:type="dxa"/>
          <w:bottom w:w="0" w:type="dxa"/>
          <w:right w:w="0" w:type="dxa"/>
        </w:tblCellMar>
      </w:tblPr>
      <w:tblGrid>
        <w:gridCol w:w="60"/>
        <w:gridCol w:w="200"/>
        <w:gridCol w:w="2240"/>
      </w:tblGrid>
      <w:tr>
        <w:trPr/>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w:t>
            </w:r>
          </w:p>
        </w:tc>
        <w:tc>
          <w:tcPr>
            <w:tcW w:w="224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Registration Statement;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39"/>
        <w:gridCol w:w="9906"/>
      </w:tblGrid>
      <w:tr>
        <w:trPr/>
        <w:tc>
          <w:tcPr>
            <w:tcW w:w="60"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(ii)</w:t>
            </w:r>
          </w:p>
        </w:tc>
        <w:tc>
          <w:tcPr>
            <w:tcW w:w="990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Amended and Restated Certificate of Incorporation of the Company, as amended, as certified as of May 20, 2026 by the Office of the Secretary of State of the State of Delaware;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311"/>
        <w:gridCol w:w="9834"/>
      </w:tblGrid>
      <w:tr>
        <w:trPr/>
        <w:tc>
          <w:tcPr>
            <w:tcW w:w="60" w:type="dxa"/>
            <w:tcBorders/>
            <w:vAlign w:val="center"/>
          </w:tcPr>
          <w:p>
            <w:pPr>
              <w:pStyle w:val="TableContents"/>
              <w:bidi w:val="0"/>
              <w:spacing w:before="0" w:after="283"/>
              <w:jc w:val="left"/>
              <w:rPr/>
            </w:pPr>
            <w:r>
              <w:rPr/>
              <w:t> </w:t>
            </w:r>
          </w:p>
        </w:tc>
        <w:tc>
          <w:tcPr>
            <w:tcW w:w="311"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(iii)</w:t>
            </w:r>
          </w:p>
        </w:tc>
        <w:tc>
          <w:tcPr>
            <w:tcW w:w="983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Third Amended and Restated Bylaws of the Company as presently in effect, as certified by an officer of the Company on May 20, 2026;</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79"/>
        <w:gridCol w:w="9866"/>
      </w:tblGrid>
      <w:tr>
        <w:trPr/>
        <w:tc>
          <w:tcPr>
            <w:tcW w:w="60" w:type="dxa"/>
            <w:tcBorders/>
            <w:vAlign w:val="center"/>
          </w:tcPr>
          <w:p>
            <w:pPr>
              <w:pStyle w:val="TableContents"/>
              <w:bidi w:val="0"/>
              <w:spacing w:before="0" w:after="283"/>
              <w:jc w:val="left"/>
              <w:rPr/>
            </w:pPr>
            <w:r>
              <w:rPr/>
              <w:t> </w:t>
            </w:r>
          </w:p>
        </w:tc>
        <w:tc>
          <w:tcPr>
            <w:tcW w:w="279"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(iv)</w:t>
            </w:r>
          </w:p>
        </w:tc>
        <w:tc>
          <w:tcPr>
            <w:tcW w:w="986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Plan and the forms of award agreements related thereto that were attached as exhibits to the Registration Statement or otherwise incorporated by reference into the exhibits of the Registration Statement;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16"/>
        <w:gridCol w:w="9929"/>
      </w:tblGrid>
      <w:tr>
        <w:trPr/>
        <w:tc>
          <w:tcPr>
            <w:tcW w:w="60" w:type="dxa"/>
            <w:tcBorders/>
            <w:vAlign w:val="center"/>
          </w:tcPr>
          <w:p>
            <w:pPr>
              <w:pStyle w:val="TableContents"/>
              <w:bidi w:val="0"/>
              <w:spacing w:before="0" w:after="283"/>
              <w:jc w:val="left"/>
              <w:rPr/>
            </w:pPr>
            <w:r>
              <w:rPr/>
              <w:t> </w:t>
            </w:r>
          </w:p>
        </w:tc>
        <w:tc>
          <w:tcPr>
            <w:tcW w:w="216"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(v)</w:t>
            </w:r>
          </w:p>
        </w:tc>
        <w:tc>
          <w:tcPr>
            <w:tcW w:w="992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 certificate, dated as of May 20, 2026, from the Office of the Secretary of State of the State of Delaware, as to the existence and good standing of the Company in the State of Delaware (the “Good Standing Certificate”);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75"/>
        <w:gridCol w:w="987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(vi)</w:t>
            </w:r>
          </w:p>
        </w:tc>
        <w:tc>
          <w:tcPr>
            <w:tcW w:w="98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resolutions adopted by the board of directors of the Company and approvals by the stockholders of the Company regarding the Plan, and other matters related thereto, as certified by an officer of the Company on May 20, 2026.</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addition to the foregoing, we have made such investigations of law as we have deemed necessary or appropriate as a basis for the opinion set forth in this opinion letter.</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such examination and in rendering the opinion expressed below, we have assumed, without independent investigation or verification: (i) the genuineness of all signatures on all agreements, instruments, corporate records, certificates and other documents submitted to us; (ii) the authenticity and completeness of all agreements, instruments, corporate records, certificates and other documents submitted to us as originals; (iii) that all agreements, instruments, corporate records, certificates and other documents submitted to us as certified, electronic, facsimile, conformed, photostatic or other copies conform to originals thereof, and that such originals are authentic and complete; (iv) the legal capacity and authority of all persons or entities (other than the Company) executing all agreements, instruments, corporate records, certificates and other documents submitted to us; (v) the due authorization, execution and delivery of all agreements, instruments, corporate records, certificates and other documents by all parties thereto (other than the Company); (vi) that no documents submitted to us have been amended or terminated orally or in writing except as has been disclosed to us in writing; (vii) that the statements contained in the certificates and comparable documents of public officials, officers and representatives of the Company and other persons on which we have relied for the purposes of this opinion letter are true and correct; (viii) that there has not been any change in the good standing status of the Company from that reported in the Good Standing Certificate; and (ix) that each of the officers and directors of the Company has properly exercised his or her fiduciary duties. As to all questions of fact material to this opinion letter, and as to the materiality of any fact or other matter referred to herein, we have relied (without independent investigation or verification) upon representations and certificates or comparable documents of officers and representatives of the Company. Our knowledge of the Company and its legal and other affairs is limited by the scope of our engagement, which scope includes the delivery of this opinion letter. We do not represent the Company with respect to all legal matters or issues. The Company may employ other independent counsel and, to our knowledge, handles certain legal matters and issues without the assistance of independent counsel. We have also assumed that the individual issuances, grants, awards or grants of purchase rights under the Plan will be duly authorized by all necessary corporate action of the Company and duly issued, granted or awarded and exercised in accordance with the requirements of law, and the Plan and the agreements, forms of instrument, awards and grants duly adopted thereunder.</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Based upon the foregoing, and in reliance thereon, and subject to the assumptions, limitations, qualifications and exceptions set forth herein, we are of the opinion that the Shares are duly authorized and, when issued and sold as described in the Registration Statement and in accordance with the Plan and the applicable award agreements or forms of instrument evidencing purchase rights under the Plan, will be validly issued, fully paid and nonassessable.</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Without limiting any of the other limitations, exceptions and qualifications stated elsewhere herein, we express no opinion with regard to the applicability or effect of the laws of any jurisdiction other than the General Corporation Law of the State of Delaware, as in effect on the date of this opinion letter.</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This opinion letter deals only with the specified legal issues expressly addressed herein, and you should not infer any opinion that is not explicitly stated herein from any matter addressed in this opinion letter.</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This opinion letter is rendered solely in connection with the issuance and delivery of the Shares as described in the Registration Statement and in accordance with the terms of the Plan and the applicable award agreement or form of instrument evidencing purchase rights thereunder. This opinion letter is rendered as of the date hereof, and we assume no obligation to advise you or any other person with regard to any change after the date hereof in the circumstances or the law that may bear on the matters set forth herein after the effectiveness of the Registration Statement even if the change may affect the legal analysis or a legal conclusion or other matters in this opinion letter.</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hereby consent to the filing of this opinion letter as Exhibit 5.1 to the Registration Statement. In giving such consent, we do not hereby admit that we are within the category of persons whose consent is required under Section 7 of the Securities Act or the rules or regulations of the Commission thereunder.</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Very truly yours,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Paul Hastings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sz w:val="20"/>
        </w:rPr>
      </w:pPr>
      <w:bookmarkStart w:id="5" w:name="ex_965165.htm"/>
      <w:bookmarkStart w:id="6" w:name="ksex_965165"/>
      <w:bookmarkEnd w:id="5"/>
      <w:bookmarkEnd w:id="6"/>
      <w:r>
        <w:rPr>
          <w:rFonts w:ascii="Times New Roman;Times;serif" w:hAnsi="Times New Roman;Times;serif"/>
          <w:b/>
          <w:sz w:val="20"/>
        </w:rPr>
        <w:t>Exhibit 23.1</w:t>
      </w:r>
      <w:r>
        <w:br w:type="page"/>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INDEPENDENT REGISTERED PUBLIC ACCOUNTING FIRM’S CONSENT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consent to the incorporation by reference in this Registration Statement of Aterian, Inc. on Form S-8 of our report dated March 20, 2026, which includes an explanatory paragraph as to the Company’s ability to continue as a going concern, with respect to our audits of the consolidated financial statements of the Aterian, Inc. and Subsidiaries as of December 31, 2025 and 2024 and for the years ended December 31, 2025 and 2024 appearing in the Annual Report on Form 10-K of Aterian, Inc. for the year ended December 31, 2025.</w:t>
      </w:r>
    </w:p>
    <w:p>
      <w:pPr>
        <w:pStyle w:val="TextBody"/>
        <w:bidi w:val="0"/>
        <w:spacing w:before="0" w:after="0"/>
        <w:ind w:left="16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UHY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Melville, 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May 20,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Normal"/>
        <w:bidi w:val="0"/>
        <w:spacing w:before="0" w:after="0"/>
        <w:jc w:val="left"/>
        <w:rPr>
          <w:sz w:val="4"/>
          <w:szCs w:val="4"/>
        </w:rPr>
      </w:pPr>
      <w:r>
        <w:rPr>
          <w:sz w:val="4"/>
          <w:szCs w:val="4"/>
        </w:rPr>
      </w:r>
      <w:bookmarkStart w:id="7" w:name="ex_965167.htm"/>
      <w:bookmarkStart w:id="8" w:name="ksex_965167"/>
      <w:bookmarkStart w:id="9" w:name="ex_965167.htm"/>
      <w:bookmarkStart w:id="10" w:name="ksex_965167"/>
      <w:bookmarkEnd w:id="9"/>
      <w:bookmarkEnd w:id="10"/>
      <w:r>
        <w:br w:type="page"/>
      </w:r>
    </w:p>
    <w:tbl>
      <w:tblPr>
        <w:tblW w:w="3551" w:type="dxa"/>
        <w:jc w:val="left"/>
        <w:tblInd w:w="0" w:type="dxa"/>
        <w:tblLayout w:type="fixed"/>
        <w:tblCellMar>
          <w:top w:w="28" w:type="dxa"/>
          <w:left w:w="28" w:type="dxa"/>
          <w:bottom w:w="28" w:type="dxa"/>
          <w:right w:w="28" w:type="dxa"/>
        </w:tblCellMar>
      </w:tblPr>
      <w:tblGrid>
        <w:gridCol w:w="3397"/>
        <w:gridCol w:w="154"/>
      </w:tblGrid>
      <w:tr>
        <w:trPr/>
        <w:tc>
          <w:tcPr>
            <w:tcW w:w="3551"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397" w:type="dxa"/>
            <w:tcBorders/>
            <w:vAlign w:val="center"/>
          </w:tcPr>
          <w:p>
            <w:pPr>
              <w:pStyle w:val="TableContents"/>
              <w:bidi w:val="0"/>
              <w:spacing w:before="0" w:after="283"/>
              <w:jc w:val="left"/>
              <w:rPr>
                <w:b/>
              </w:rPr>
            </w:pPr>
            <w:r>
              <w:rPr>
                <w:b/>
              </w:rPr>
              <w:t xml:space="preserve">S-8 </w:t>
            </w:r>
          </w:p>
        </w:tc>
        <w:tc>
          <w:tcPr>
            <w:tcW w:w="154" w:type="dxa"/>
            <w:tcBorders/>
          </w:tcPr>
          <w:p>
            <w:pPr>
              <w:pStyle w:val="TableContents"/>
              <w:bidi w:val="0"/>
              <w:spacing w:before="0" w:after="283"/>
              <w:jc w:val="left"/>
              <w:rPr>
                <w:sz w:val="4"/>
                <w:szCs w:val="4"/>
              </w:rPr>
            </w:pPr>
            <w:r>
              <w:rPr>
                <w:sz w:val="4"/>
                <w:szCs w:val="4"/>
              </w:rPr>
            </w:r>
          </w:p>
        </w:tc>
      </w:tr>
      <w:tr>
        <w:trPr/>
        <w:tc>
          <w:tcPr>
            <w:tcW w:w="3397" w:type="dxa"/>
            <w:tcBorders/>
            <w:vAlign w:val="center"/>
          </w:tcPr>
          <w:p>
            <w:pPr>
              <w:pStyle w:val="TableContents"/>
              <w:bidi w:val="0"/>
              <w:spacing w:before="0" w:after="283"/>
              <w:jc w:val="left"/>
              <w:rPr>
                <w:b/>
              </w:rPr>
            </w:pPr>
            <w:r>
              <w:rPr>
                <w:b/>
              </w:rPr>
              <w:t xml:space="preserve">Aterian, Inc. </w:t>
            </w:r>
          </w:p>
        </w:tc>
        <w:tc>
          <w:tcPr>
            <w:tcW w:w="154" w:type="dxa"/>
            <w:tcBorders/>
          </w:tcPr>
          <w:p>
            <w:pPr>
              <w:pStyle w:val="TableContents"/>
              <w:bidi w:val="0"/>
              <w:spacing w:before="0" w:after="283"/>
              <w:jc w:val="left"/>
              <w:rPr>
                <w:sz w:val="4"/>
                <w:szCs w:val="4"/>
              </w:rPr>
            </w:pPr>
            <w:r>
              <w:rPr>
                <w:sz w:val="4"/>
                <w:szCs w:val="4"/>
              </w:rPr>
            </w:r>
          </w:p>
        </w:tc>
      </w:tr>
    </w:tbl>
    <w:tbl>
      <w:tblPr>
        <w:tblW w:w="3946" w:type="dxa"/>
        <w:jc w:val="left"/>
        <w:tblInd w:w="0" w:type="dxa"/>
        <w:tblLayout w:type="fixed"/>
        <w:tblCellMar>
          <w:top w:w="28" w:type="dxa"/>
          <w:left w:w="28" w:type="dxa"/>
          <w:bottom w:w="28" w:type="dxa"/>
          <w:right w:w="28" w:type="dxa"/>
        </w:tblCellMar>
      </w:tblPr>
      <w:tblGrid>
        <w:gridCol w:w="3946"/>
      </w:tblGrid>
      <w:tr>
        <w:trPr/>
        <w:tc>
          <w:tcPr>
            <w:tcW w:w="3946" w:type="dxa"/>
            <w:tcBorders/>
            <w:vAlign w:val="center"/>
          </w:tcPr>
          <w:p>
            <w:pPr>
              <w:pStyle w:val="TableHeading"/>
              <w:bidi w:val="0"/>
              <w:spacing w:before="0" w:after="0"/>
              <w:ind w:left="0" w:right="0" w:hanging="0"/>
              <w:jc w:val="center"/>
              <w:rPr/>
            </w:pPr>
            <w:r>
              <w:rPr>
                <w:b/>
              </w:rPr>
              <w:t>Table 1: Newly Registered Securities</w:t>
            </w:r>
            <w:r>
              <w:rPr/>
              <w:t xml:space="preserve"> </w:t>
            </w:r>
          </w:p>
        </w:tc>
      </w:tr>
    </w:tbl>
    <w:tbl>
      <w:tblPr>
        <w:tblW w:w="10205" w:type="dxa"/>
        <w:jc w:val="left"/>
        <w:tblInd w:w="0" w:type="dxa"/>
        <w:tblLayout w:type="fixed"/>
        <w:tblCellMar>
          <w:top w:w="28" w:type="dxa"/>
          <w:left w:w="28" w:type="dxa"/>
          <w:bottom w:w="28" w:type="dxa"/>
          <w:right w:w="28" w:type="dxa"/>
        </w:tblCellMar>
      </w:tblPr>
      <w:tblGrid>
        <w:gridCol w:w="242"/>
        <w:gridCol w:w="962"/>
        <w:gridCol w:w="1076"/>
        <w:gridCol w:w="1301"/>
        <w:gridCol w:w="1210"/>
        <w:gridCol w:w="1244"/>
        <w:gridCol w:w="1603"/>
        <w:gridCol w:w="1127"/>
        <w:gridCol w:w="1440"/>
      </w:tblGrid>
      <w:tr>
        <w:trPr/>
        <w:tc>
          <w:tcPr>
            <w:tcW w:w="242" w:type="dxa"/>
            <w:tcBorders/>
            <w:shd w:fill="9ADAF6" w:val="clear"/>
            <w:vAlign w:val="center"/>
          </w:tcPr>
          <w:p>
            <w:pPr>
              <w:pStyle w:val="TableHeading"/>
              <w:bidi w:val="0"/>
              <w:spacing w:before="0" w:after="283"/>
              <w:rPr>
                <w:sz w:val="4"/>
                <w:szCs w:val="4"/>
              </w:rPr>
            </w:pPr>
            <w:r>
              <w:rPr>
                <w:sz w:val="4"/>
                <w:szCs w:val="4"/>
              </w:rPr>
            </w:r>
          </w:p>
        </w:tc>
        <w:tc>
          <w:tcPr>
            <w:tcW w:w="962"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076"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301" w:type="dxa"/>
            <w:tcBorders/>
            <w:shd w:fill="9ADAF6" w:val="clear"/>
            <w:vAlign w:val="center"/>
          </w:tcPr>
          <w:p>
            <w:pPr>
              <w:pStyle w:val="TableHeading"/>
              <w:bidi w:val="0"/>
              <w:spacing w:before="0" w:after="0"/>
              <w:ind w:left="0" w:right="0" w:hanging="0"/>
              <w:jc w:val="center"/>
              <w:rPr/>
            </w:pPr>
            <w:r>
              <w:rPr>
                <w:b/>
              </w:rPr>
              <w:t>Fee Calculation Rule</w:t>
            </w:r>
            <w:r>
              <w:rPr/>
              <w:t xml:space="preserve"> </w:t>
            </w:r>
          </w:p>
        </w:tc>
        <w:tc>
          <w:tcPr>
            <w:tcW w:w="1210"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244"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603"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7"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440"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r>
      <w:tr>
        <w:trPr/>
        <w:tc>
          <w:tcPr>
            <w:tcW w:w="242" w:type="dxa"/>
            <w:tcBorders/>
            <w:shd w:fill="E7E7E2" w:val="clear"/>
            <w:vAlign w:val="center"/>
          </w:tcPr>
          <w:p>
            <w:pPr>
              <w:pStyle w:val="TableContents"/>
              <w:bidi w:val="0"/>
              <w:spacing w:before="0" w:after="283"/>
              <w:jc w:val="center"/>
              <w:rPr/>
            </w:pPr>
            <w:r>
              <w:rPr/>
              <w:t xml:space="preserve">1 </w:t>
            </w:r>
          </w:p>
        </w:tc>
        <w:tc>
          <w:tcPr>
            <w:tcW w:w="962" w:type="dxa"/>
            <w:tcBorders/>
            <w:shd w:fill="E7E7E2" w:val="clear"/>
            <w:vAlign w:val="center"/>
          </w:tcPr>
          <w:p>
            <w:pPr>
              <w:pStyle w:val="TableContents"/>
              <w:bidi w:val="0"/>
              <w:spacing w:before="0" w:after="283"/>
              <w:jc w:val="left"/>
              <w:rPr/>
            </w:pPr>
            <w:r>
              <w:rPr/>
              <w:t xml:space="preserve">Equity </w:t>
            </w:r>
          </w:p>
        </w:tc>
        <w:tc>
          <w:tcPr>
            <w:tcW w:w="1076" w:type="dxa"/>
            <w:tcBorders/>
            <w:shd w:fill="E7E7E2" w:val="clear"/>
            <w:vAlign w:val="center"/>
          </w:tcPr>
          <w:p>
            <w:pPr>
              <w:pStyle w:val="TableContents"/>
              <w:bidi w:val="0"/>
              <w:spacing w:before="0" w:after="283"/>
              <w:jc w:val="left"/>
              <w:rPr/>
            </w:pPr>
            <w:r>
              <w:rPr/>
              <w:t xml:space="preserve">Common Stock, par value $0.0001 per share </w:t>
            </w:r>
          </w:p>
        </w:tc>
        <w:tc>
          <w:tcPr>
            <w:tcW w:w="1301" w:type="dxa"/>
            <w:tcBorders/>
            <w:shd w:fill="E7E7E2" w:val="clear"/>
            <w:vAlign w:val="center"/>
          </w:tcPr>
          <w:p>
            <w:pPr>
              <w:pStyle w:val="TableContents"/>
              <w:bidi w:val="0"/>
              <w:spacing w:before="0" w:after="283"/>
              <w:jc w:val="center"/>
              <w:rPr/>
            </w:pPr>
            <w:r>
              <w:rPr/>
              <w:t xml:space="preserve">Other </w:t>
            </w:r>
          </w:p>
        </w:tc>
        <w:tc>
          <w:tcPr>
            <w:tcW w:w="1210" w:type="dxa"/>
            <w:tcBorders/>
            <w:shd w:fill="E7E7E2" w:val="clear"/>
            <w:vAlign w:val="center"/>
          </w:tcPr>
          <w:p>
            <w:pPr>
              <w:pStyle w:val="TableContents"/>
              <w:bidi w:val="0"/>
              <w:spacing w:before="0" w:after="283"/>
              <w:jc w:val="right"/>
              <w:rPr/>
            </w:pPr>
            <w:r>
              <w:rPr/>
              <w:t xml:space="preserve">1,898,733 </w:t>
            </w:r>
          </w:p>
        </w:tc>
        <w:tc>
          <w:tcPr>
            <w:tcW w:w="1244" w:type="dxa"/>
            <w:tcBorders/>
            <w:shd w:fill="E7E7E2" w:val="clear"/>
            <w:vAlign w:val="center"/>
          </w:tcPr>
          <w:p>
            <w:pPr>
              <w:pStyle w:val="TableContents"/>
              <w:bidi w:val="0"/>
              <w:spacing w:before="0" w:after="283"/>
              <w:jc w:val="right"/>
              <w:rPr/>
            </w:pPr>
            <w:r>
              <w:rPr/>
              <w:t xml:space="preserve">$ 1.13 </w:t>
            </w:r>
          </w:p>
        </w:tc>
        <w:tc>
          <w:tcPr>
            <w:tcW w:w="1603" w:type="dxa"/>
            <w:tcBorders/>
            <w:shd w:fill="E7E7E2" w:val="clear"/>
            <w:vAlign w:val="center"/>
          </w:tcPr>
          <w:p>
            <w:pPr>
              <w:pStyle w:val="TableContents"/>
              <w:bidi w:val="0"/>
              <w:spacing w:before="0" w:after="283"/>
              <w:jc w:val="right"/>
              <w:rPr/>
            </w:pPr>
            <w:r>
              <w:rPr/>
              <w:t xml:space="preserve">$ 2,145,568.29 </w:t>
            </w:r>
          </w:p>
        </w:tc>
        <w:tc>
          <w:tcPr>
            <w:tcW w:w="1127" w:type="dxa"/>
            <w:tcBorders/>
            <w:shd w:fill="E7E7E2" w:val="clear"/>
            <w:vAlign w:val="center"/>
          </w:tcPr>
          <w:p>
            <w:pPr>
              <w:pStyle w:val="TableContents"/>
              <w:bidi w:val="0"/>
              <w:spacing w:before="0" w:after="283"/>
              <w:jc w:val="right"/>
              <w:rPr/>
            </w:pPr>
            <w:r>
              <w:rPr/>
              <w:t xml:space="preserve">0.0001381 </w:t>
            </w:r>
          </w:p>
        </w:tc>
        <w:tc>
          <w:tcPr>
            <w:tcW w:w="1440" w:type="dxa"/>
            <w:tcBorders/>
            <w:shd w:fill="E7E7E2" w:val="clear"/>
            <w:vAlign w:val="center"/>
          </w:tcPr>
          <w:p>
            <w:pPr>
              <w:pStyle w:val="TableContents"/>
              <w:bidi w:val="0"/>
              <w:spacing w:before="0" w:after="283"/>
              <w:jc w:val="right"/>
              <w:rPr/>
            </w:pPr>
            <w:r>
              <w:rPr/>
              <w:t xml:space="preserve">$ 296.30 </w:t>
            </w:r>
          </w:p>
        </w:tc>
      </w:tr>
      <w:tr>
        <w:trPr/>
        <w:tc>
          <w:tcPr>
            <w:tcW w:w="4791" w:type="dxa"/>
            <w:gridSpan w:val="5"/>
            <w:tcBorders/>
            <w:vAlign w:val="center"/>
          </w:tcPr>
          <w:p>
            <w:pPr>
              <w:pStyle w:val="TableContents"/>
              <w:bidi w:val="0"/>
              <w:spacing w:before="0" w:after="0"/>
              <w:ind w:left="0" w:right="0" w:hanging="0"/>
              <w:jc w:val="right"/>
              <w:rPr/>
            </w:pPr>
            <w:r>
              <w:rPr/>
              <w:t>Total Offering Amounts:</w:t>
            </w:r>
          </w:p>
        </w:tc>
        <w:tc>
          <w:tcPr>
            <w:tcW w:w="1244" w:type="dxa"/>
            <w:tcBorders/>
            <w:vAlign w:val="center"/>
          </w:tcPr>
          <w:p>
            <w:pPr>
              <w:pStyle w:val="TableContents"/>
              <w:bidi w:val="0"/>
              <w:spacing w:before="0" w:after="283"/>
              <w:jc w:val="left"/>
              <w:rPr>
                <w:sz w:val="4"/>
                <w:szCs w:val="4"/>
              </w:rPr>
            </w:pPr>
            <w:r>
              <w:rPr>
                <w:sz w:val="4"/>
                <w:szCs w:val="4"/>
              </w:rPr>
            </w:r>
          </w:p>
        </w:tc>
        <w:tc>
          <w:tcPr>
            <w:tcW w:w="1603" w:type="dxa"/>
            <w:tcBorders/>
            <w:vAlign w:val="center"/>
          </w:tcPr>
          <w:p>
            <w:pPr>
              <w:pStyle w:val="TableContents"/>
              <w:bidi w:val="0"/>
              <w:spacing w:before="0" w:after="0"/>
              <w:ind w:left="0" w:right="0" w:hanging="0"/>
              <w:jc w:val="right"/>
              <w:rPr/>
            </w:pPr>
            <w:bookmarkStart w:id="11" w:name="MaxAggtOfferingPrice"/>
            <w:bookmarkEnd w:id="11"/>
            <w:r>
              <w:rPr/>
              <w:t xml:space="preserve">$ 2,145,568.29 </w:t>
            </w:r>
          </w:p>
        </w:tc>
        <w:tc>
          <w:tcPr>
            <w:tcW w:w="1127" w:type="dxa"/>
            <w:tcBorders/>
            <w:vAlign w:val="center"/>
          </w:tcPr>
          <w:p>
            <w:pPr>
              <w:pStyle w:val="TableContents"/>
              <w:bidi w:val="0"/>
              <w:spacing w:before="0" w:after="283"/>
              <w:jc w:val="left"/>
              <w:rPr>
                <w:sz w:val="4"/>
                <w:szCs w:val="4"/>
              </w:rPr>
            </w:pPr>
            <w:r>
              <w:rPr>
                <w:sz w:val="4"/>
                <w:szCs w:val="4"/>
              </w:rPr>
            </w:r>
          </w:p>
        </w:tc>
        <w:tc>
          <w:tcPr>
            <w:tcW w:w="1440"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12" w:name="TotalFeeAmt"/>
            <w:bookmarkEnd w:id="12"/>
            <w:r>
              <w:rPr/>
              <w:t xml:space="preserve">$ 296.30 </w:t>
            </w:r>
          </w:p>
        </w:tc>
      </w:tr>
      <w:tr>
        <w:trPr/>
        <w:tc>
          <w:tcPr>
            <w:tcW w:w="4791" w:type="dxa"/>
            <w:gridSpan w:val="5"/>
            <w:tcBorders/>
            <w:vAlign w:val="center"/>
          </w:tcPr>
          <w:p>
            <w:pPr>
              <w:pStyle w:val="TableContents"/>
              <w:bidi w:val="0"/>
              <w:spacing w:before="0" w:after="0"/>
              <w:ind w:left="0" w:right="0" w:hanging="0"/>
              <w:jc w:val="right"/>
              <w:rPr/>
            </w:pPr>
            <w:r>
              <w:rPr/>
              <w:t xml:space="preserve">Total Fee Offsets: </w:t>
            </w:r>
          </w:p>
        </w:tc>
        <w:tc>
          <w:tcPr>
            <w:tcW w:w="1244" w:type="dxa"/>
            <w:tcBorders/>
            <w:vAlign w:val="center"/>
          </w:tcPr>
          <w:p>
            <w:pPr>
              <w:pStyle w:val="TableContents"/>
              <w:bidi w:val="0"/>
              <w:spacing w:before="0" w:after="283"/>
              <w:jc w:val="left"/>
              <w:rPr>
                <w:sz w:val="4"/>
                <w:szCs w:val="4"/>
              </w:rPr>
            </w:pPr>
            <w:r>
              <w:rPr>
                <w:sz w:val="4"/>
                <w:szCs w:val="4"/>
              </w:rPr>
            </w:r>
          </w:p>
        </w:tc>
        <w:tc>
          <w:tcPr>
            <w:tcW w:w="1603"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440" w:type="dxa"/>
            <w:tcBorders/>
            <w:vAlign w:val="center"/>
          </w:tcPr>
          <w:p>
            <w:pPr>
              <w:pStyle w:val="TableContents"/>
              <w:bidi w:val="0"/>
              <w:spacing w:before="0" w:after="0"/>
              <w:ind w:left="0" w:right="0" w:hanging="0"/>
              <w:jc w:val="right"/>
              <w:rPr/>
            </w:pPr>
            <w:bookmarkStart w:id="13" w:name="TotalOffsetAmt"/>
            <w:bookmarkEnd w:id="13"/>
            <w:r>
              <w:rPr/>
              <w:t xml:space="preserve">$ 0.00 </w:t>
            </w:r>
          </w:p>
        </w:tc>
      </w:tr>
      <w:tr>
        <w:trPr/>
        <w:tc>
          <w:tcPr>
            <w:tcW w:w="4791" w:type="dxa"/>
            <w:gridSpan w:val="5"/>
            <w:tcBorders/>
            <w:vAlign w:val="center"/>
          </w:tcPr>
          <w:p>
            <w:pPr>
              <w:pStyle w:val="TableContents"/>
              <w:bidi w:val="0"/>
              <w:spacing w:before="0" w:after="0"/>
              <w:ind w:left="0" w:right="0" w:hanging="0"/>
              <w:jc w:val="right"/>
              <w:rPr/>
            </w:pPr>
            <w:r>
              <w:rPr/>
              <w:t xml:space="preserve">Net Fee Due: </w:t>
            </w:r>
          </w:p>
        </w:tc>
        <w:tc>
          <w:tcPr>
            <w:tcW w:w="1244" w:type="dxa"/>
            <w:tcBorders/>
            <w:vAlign w:val="center"/>
          </w:tcPr>
          <w:p>
            <w:pPr>
              <w:pStyle w:val="TableContents"/>
              <w:bidi w:val="0"/>
              <w:spacing w:before="0" w:after="283"/>
              <w:jc w:val="left"/>
              <w:rPr>
                <w:sz w:val="4"/>
                <w:szCs w:val="4"/>
              </w:rPr>
            </w:pPr>
            <w:r>
              <w:rPr>
                <w:sz w:val="4"/>
                <w:szCs w:val="4"/>
              </w:rPr>
            </w:r>
          </w:p>
        </w:tc>
        <w:tc>
          <w:tcPr>
            <w:tcW w:w="1603"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440" w:type="dxa"/>
            <w:tcBorders/>
            <w:vAlign w:val="center"/>
          </w:tcPr>
          <w:p>
            <w:pPr>
              <w:pStyle w:val="TableContents"/>
              <w:bidi w:val="0"/>
              <w:spacing w:before="0" w:after="0"/>
              <w:ind w:left="0" w:right="0" w:hanging="0"/>
              <w:jc w:val="right"/>
              <w:rPr/>
            </w:pPr>
            <w:bookmarkStart w:id="14" w:name="NetFeeAmt"/>
            <w:bookmarkEnd w:id="14"/>
            <w:r>
              <w:rPr/>
              <w:t xml:space="preserve">$ 296.30 </w:t>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98"/>
        <w:gridCol w:w="1297"/>
        <w:gridCol w:w="8710"/>
      </w:tblGrid>
      <w:tr>
        <w:trPr/>
        <w:tc>
          <w:tcPr>
            <w:tcW w:w="198"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7" w:type="dxa"/>
            <w:gridSpan w:val="2"/>
            <w:tcBorders/>
            <w:vAlign w:val="center"/>
          </w:tcPr>
          <w:p>
            <w:pPr>
              <w:pStyle w:val="TableContents"/>
              <w:bidi w:val="0"/>
              <w:spacing w:before="0" w:after="283"/>
              <w:jc w:val="left"/>
              <w:rPr/>
            </w:pPr>
            <w:r>
              <w:rPr/>
              <w:t xml:space="preserve">a) Pursuant to Rule 416(a) of the Securities Act of 1933, as amended (the "Securities Act"), this Registration Statement shall also cover any additional shares of the Registrant's Common Stock ("Common Stock") that become issuable under the Amended and Restated Aterian, Inc. 2018 Equity Incentive Plan (the "2018 Plan") by reason of any stock dividend, stock split, recapitalization or other similar transaction effected without receipt of consideration that increases the number of the Registrant's outstanding shares of Common Stock. b) Represents 1,898,733 shares of Common Stock that were automatically added to the shares reserved for future issuance under the 2018 Plan. The 2018 Plan provides that the number of shares reserved for issuance under the 2018 Plan will automatically increase on January 1st each calendar year for ten years, starting on January 1, 2019 and ending on and including January 1, 2028, by the lesser of (a) such number of shares of Common Stock equal to 15% of the number of shares of Common Stock Deemed Outstanding (as defined in the 2018 Plan) on the immediately preceding December 31st, minus the number of shares of Common Stock in the Share Reserve (as defined in the 2018 Plan) as of immediately prior to the increase, and (b) a number determined by the Registrant's board of directors. c) Estimated solely for the purpose of calculating the amount of the registration fee pursuant to Rule 457(c) and Rule 457(h) of the Securities Act. The proposed maximum offering price per share and the proposed maximum aggregate offering price with respect to the shares are calculated based on $1.13 per share, the average of the high and low prices of the Common Stock, as reported on the Nasdaq Capital Market on May 15, 2026, a date within five business days prior to the filing of this Registration Statement. </w:t>
            </w:r>
          </w:p>
        </w:tc>
      </w:tr>
      <w:tr>
        <w:trPr/>
        <w:tc>
          <w:tcPr>
            <w:tcW w:w="1495" w:type="dxa"/>
            <w:gridSpan w:val="2"/>
            <w:tcBorders/>
            <w:vAlign w:val="center"/>
          </w:tcPr>
          <w:p>
            <w:pPr>
              <w:pStyle w:val="HorizontalLine"/>
              <w:pBdr>
                <w:bottom w:val="double" w:sz="2" w:space="0" w:color="808080"/>
              </w:pBdr>
              <w:bidi w:val="0"/>
              <w:spacing w:before="0" w:after="283"/>
              <w:jc w:val="left"/>
              <w:rPr/>
            </w:pPr>
            <w:r>
              <w:rPr/>
            </w:r>
          </w:p>
        </w:tc>
        <w:tc>
          <w:tcPr>
            <w:tcW w:w="8710"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757715/000143774926009285/ater20251231_10k.htm" TargetMode="External"/><Relationship Id="rId3" Type="http://schemas.openxmlformats.org/officeDocument/2006/relationships/hyperlink" Target="http://www.sec.gov/Archives/edgar/data/1757715/000143774926017437/ater20260331_10q.htm" TargetMode="External"/><Relationship Id="rId4" Type="http://schemas.openxmlformats.org/officeDocument/2006/relationships/hyperlink" Target="http://www.sec.gov/Archives/edgar/data/1757715/000143774926008614/ater20260313_8k.htm" TargetMode="External"/><Relationship Id="rId5" Type="http://schemas.openxmlformats.org/officeDocument/2006/relationships/hyperlink" Target="http://www.sec.gov/Archives/edgar/data/1757715/000143774926013884/ater20260427_8k.htm" TargetMode="External"/><Relationship Id="rId6" Type="http://schemas.openxmlformats.org/officeDocument/2006/relationships/hyperlink" Target="http://www.sec.gov/Archives/edgar/data/1757715/000119312519170152/d760953d8a12b.htm" TargetMode="External"/><Relationship Id="rId7" Type="http://schemas.openxmlformats.org/officeDocument/2006/relationships/hyperlink" Target="http://www.sec.gov/Archives/edgar/data/1757715/000156459022010668/ater-ex49_420.htm" TargetMode="External"/><Relationship Id="rId8" Type="http://schemas.openxmlformats.org/officeDocument/2006/relationships/hyperlink" Target="http://www.sec.gov/Archives/edgar/data/1757715/000119312519173667/d826688dex31.htm" TargetMode="External"/><Relationship Id="rId9" Type="http://schemas.openxmlformats.org/officeDocument/2006/relationships/hyperlink" Target="http://www.sec.gov/Archives/edgar/data/1757715/000119312521142247/d180974dex31.htm" TargetMode="External"/><Relationship Id="rId10" Type="http://schemas.openxmlformats.org/officeDocument/2006/relationships/hyperlink" Target="http://www.sec.gov/Archives/edgar/data/1757715/000119312521142247/d180974dex32.htm" TargetMode="External"/><Relationship Id="rId11" Type="http://schemas.openxmlformats.org/officeDocument/2006/relationships/hyperlink" Target="http://www.sec.gov/Archives/edgar/data/1757715/000119312522165200/d339752dex31.htm" TargetMode="External"/><Relationship Id="rId12" Type="http://schemas.openxmlformats.org/officeDocument/2006/relationships/hyperlink" Target="http://www.sec.gov/Archives/edgar/data/1757715/000119312519157090/d639806dex41.htm" TargetMode="External"/><Relationship Id="rId13" Type="http://schemas.openxmlformats.org/officeDocument/2006/relationships/hyperlink" Target="http://www.sec.gov/Archives/edgar/data/1757715/000119312519171607/d762301dex103.htm" TargetMode="External"/><Relationship Id="rId14" Type="http://schemas.openxmlformats.org/officeDocument/2006/relationships/hyperlink" Target="http://www.sec.gov/Archives/edgar/data/1757715/000119312519144273/d639806dex1017.htm" TargetMode="External"/><Relationship Id="rId15" Type="http://schemas.openxmlformats.org/officeDocument/2006/relationships/hyperlink" Target="http://www.sec.gov/Archives/edgar/data/1757715/000119312519171607/d762301dex104.htm" TargetMode="External"/><Relationship Id="rId16" Type="http://schemas.openxmlformats.org/officeDocument/2006/relationships/image" Target="media/image1.jpeg"/><Relationship Id="rId17" Type="http://schemas.openxmlformats.org/officeDocument/2006/relationships/fontTable" Target="fontTable.xml"/><Relationship Id="rId1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3332</Words>
  <Characters>17779</Characters>
  <CharactersWithSpaces>21176</CharactersWithSpaces>
  <Paragraphs>468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